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B9840" w14:textId="77777777" w:rsidR="00831C43" w:rsidRDefault="00FE67E7">
      <w:pPr>
        <w:tabs>
          <w:tab w:val="center" w:pos="4153"/>
          <w:tab w:val="right" w:pos="8306"/>
        </w:tabs>
        <w:jc w:val="right"/>
        <w:rPr>
          <w:b/>
        </w:rPr>
      </w:pPr>
      <w:bookmarkStart w:id="0" w:name="_GoBack"/>
      <w:bookmarkEnd w:id="0"/>
      <w:r>
        <w:rPr>
          <w:b/>
        </w:rPr>
        <w:t>Projektas</w:t>
      </w:r>
    </w:p>
    <w:p w14:paraId="6F6CC88E" w14:textId="77777777" w:rsidR="00831C43" w:rsidRDefault="00FE67E7">
      <w:pPr>
        <w:jc w:val="center"/>
        <w:rPr>
          <w:b/>
        </w:rPr>
      </w:pPr>
      <w:r>
        <w:rPr>
          <w:b/>
        </w:rPr>
        <w:t>LIETUVOS RESPUBLIKOS SUSISIEKIMO MINISTRAS</w:t>
      </w:r>
    </w:p>
    <w:p w14:paraId="3B56F2B6" w14:textId="77777777" w:rsidR="00831C43" w:rsidRDefault="00831C43">
      <w:pPr>
        <w:jc w:val="center"/>
      </w:pPr>
    </w:p>
    <w:p w14:paraId="11AA052A" w14:textId="77777777" w:rsidR="00831C43" w:rsidRDefault="00FE67E7">
      <w:pPr>
        <w:jc w:val="center"/>
        <w:rPr>
          <w:b/>
        </w:rPr>
      </w:pPr>
      <w:r>
        <w:rPr>
          <w:b/>
        </w:rPr>
        <w:t>ĮSAKYMAS</w:t>
      </w:r>
    </w:p>
    <w:p w14:paraId="4294D5F4" w14:textId="77777777" w:rsidR="00831C43" w:rsidRDefault="00FE67E7">
      <w:pPr>
        <w:jc w:val="center"/>
        <w:rPr>
          <w:b/>
        </w:rPr>
      </w:pPr>
      <w:r>
        <w:rPr>
          <w:b/>
        </w:rPr>
        <w:t>DĖL LIETUVOS RESPUBLIKOS SUSISIEKIMO MINISTRO 2003 M. GRUODŽIO 31 D. ĮSAKYMO NR. 3-734 „DĖL AUTOBUSŲ STOČIŲ VEIKLOS NUOSTATŲ PATVIRTINIMO“ PAKEITIMO</w:t>
      </w:r>
    </w:p>
    <w:p w14:paraId="62E0C63C" w14:textId="77777777" w:rsidR="00831C43" w:rsidRDefault="00831C43">
      <w:pPr>
        <w:jc w:val="center"/>
      </w:pPr>
    </w:p>
    <w:p w14:paraId="6421C868" w14:textId="77777777" w:rsidR="00831C43" w:rsidRDefault="00FE67E7">
      <w:pPr>
        <w:jc w:val="center"/>
      </w:pPr>
      <w:r>
        <w:t xml:space="preserve">2020 m. </w:t>
      </w:r>
      <w:r>
        <w:t>______________ d. Nr. ____</w:t>
      </w:r>
    </w:p>
    <w:p w14:paraId="7F122B19" w14:textId="77777777" w:rsidR="00831C43" w:rsidRDefault="00FE67E7">
      <w:pPr>
        <w:jc w:val="center"/>
      </w:pPr>
      <w:r>
        <w:t>Vilnius</w:t>
      </w:r>
    </w:p>
    <w:p w14:paraId="770C5ECE" w14:textId="77777777" w:rsidR="00831C43" w:rsidRDefault="00831C43">
      <w:pPr>
        <w:jc w:val="center"/>
      </w:pPr>
    </w:p>
    <w:p w14:paraId="309E0770" w14:textId="77777777" w:rsidR="00831C43" w:rsidRDefault="00FE67E7">
      <w:pPr>
        <w:widowControl w:val="0"/>
        <w:shd w:val="clear" w:color="auto" w:fill="FFFFFF"/>
        <w:ind w:firstLine="709"/>
        <w:jc w:val="both"/>
      </w:pPr>
      <w:r>
        <w:t>Vadovaudamasis Lietuvos Respublikos kelių transporto kodekso 11 straipsnio 7 dalimi ir įgyvendindamas 2011 m. vasario 16 d. Europos Parlamento ir Tarybos reglamento (ES) Nr. 181/2011 dėl miesto ir tolimojo susisiekimo au</w:t>
      </w:r>
      <w:r>
        <w:t>tobusų transporto keleivių teisių, kuriuo iš dalies keičiamas Reglamentas (EB) Nr. 2006/2004, nuostatas,</w:t>
      </w:r>
    </w:p>
    <w:p w14:paraId="39901E3E" w14:textId="77777777" w:rsidR="00831C43" w:rsidRDefault="00FE67E7">
      <w:pPr>
        <w:widowControl w:val="0"/>
        <w:shd w:val="clear" w:color="auto" w:fill="FFFFFF"/>
        <w:ind w:firstLine="709"/>
        <w:jc w:val="both"/>
      </w:pPr>
      <w:r>
        <w:t xml:space="preserve">1. </w:t>
      </w:r>
      <w:r>
        <w:rPr>
          <w:spacing w:val="60"/>
        </w:rPr>
        <w:t>Pakeičiu</w:t>
      </w:r>
      <w:r>
        <w:t xml:space="preserve"> Autobusų stočių veiklos nuostatus ir išdėjau juos nauja redakcija (pridedama).</w:t>
      </w:r>
    </w:p>
    <w:p w14:paraId="68E50018" w14:textId="77777777" w:rsidR="00831C43" w:rsidRDefault="00FE67E7">
      <w:pPr>
        <w:widowControl w:val="0"/>
        <w:shd w:val="clear" w:color="auto" w:fill="FFFFFF"/>
        <w:ind w:firstLine="709"/>
        <w:jc w:val="both"/>
      </w:pPr>
      <w:r>
        <w:t xml:space="preserve">2. </w:t>
      </w:r>
      <w:r>
        <w:rPr>
          <w:spacing w:val="60"/>
        </w:rPr>
        <w:t>Nustata</w:t>
      </w:r>
      <w:r>
        <w:t>u, kad Autobusų stočių veiklos nuostatų 14.7 papun</w:t>
      </w:r>
      <w:r>
        <w:t>ktis įsigalioja 2022 m. sausio 1 d.</w:t>
      </w:r>
    </w:p>
    <w:p w14:paraId="3441952D" w14:textId="77777777" w:rsidR="00831C43" w:rsidRDefault="00831C43">
      <w:pPr>
        <w:tabs>
          <w:tab w:val="right" w:pos="9639"/>
        </w:tabs>
      </w:pPr>
    </w:p>
    <w:p w14:paraId="5304ADDF" w14:textId="77777777" w:rsidR="00831C43" w:rsidRDefault="00831C43">
      <w:pPr>
        <w:tabs>
          <w:tab w:val="right" w:pos="9639"/>
        </w:tabs>
      </w:pPr>
    </w:p>
    <w:p w14:paraId="758F2BA2" w14:textId="77777777" w:rsidR="00831C43" w:rsidRDefault="00831C43">
      <w:pPr>
        <w:tabs>
          <w:tab w:val="right" w:pos="9639"/>
        </w:tabs>
      </w:pPr>
    </w:p>
    <w:p w14:paraId="1089EE13" w14:textId="77777777" w:rsidR="00831C43" w:rsidRDefault="00831C43">
      <w:pPr>
        <w:tabs>
          <w:tab w:val="right" w:pos="9639"/>
        </w:tabs>
      </w:pPr>
    </w:p>
    <w:p w14:paraId="167F0B13" w14:textId="77777777" w:rsidR="00831C43" w:rsidRDefault="00FE67E7">
      <w:pPr>
        <w:tabs>
          <w:tab w:val="right" w:pos="9639"/>
        </w:tabs>
        <w:sectPr w:rsidR="00831C4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39" w:code="9"/>
          <w:pgMar w:top="1134" w:right="567" w:bottom="1134" w:left="1701" w:header="709" w:footer="709" w:gutter="0"/>
          <w:cols w:space="708"/>
          <w:titlePg/>
          <w:docGrid w:linePitch="326"/>
        </w:sectPr>
      </w:pPr>
      <w:r>
        <w:t>Susisiekimo ministras</w:t>
      </w:r>
    </w:p>
    <w:p w14:paraId="22D885E9" w14:textId="77777777" w:rsidR="00831C43" w:rsidRDefault="00831C43">
      <w:pPr>
        <w:tabs>
          <w:tab w:val="center" w:pos="4680"/>
          <w:tab w:val="right" w:pos="9360"/>
        </w:tabs>
        <w:rPr>
          <w:sz w:val="22"/>
          <w:szCs w:val="22"/>
          <w:lang w:val="en-US"/>
        </w:rPr>
      </w:pPr>
    </w:p>
    <w:p w14:paraId="67960359" w14:textId="77777777" w:rsidR="00831C43" w:rsidRDefault="00FE67E7">
      <w:pPr>
        <w:tabs>
          <w:tab w:val="right" w:pos="9639"/>
        </w:tabs>
        <w:ind w:left="6237"/>
      </w:pPr>
      <w:r>
        <w:t>PATVIRTINTA</w:t>
      </w:r>
    </w:p>
    <w:p w14:paraId="010B6705" w14:textId="77777777" w:rsidR="00831C43" w:rsidRDefault="00FE67E7">
      <w:pPr>
        <w:widowControl w:val="0"/>
        <w:shd w:val="clear" w:color="auto" w:fill="FFFFFF"/>
        <w:ind w:left="6237"/>
      </w:pPr>
      <w:r>
        <w:t>Lietuvos Respublikos susisiekimo ministro 20</w:t>
      </w:r>
      <w:r>
        <w:rPr>
          <w:lang w:val="en-US"/>
        </w:rPr>
        <w:t>20</w:t>
      </w:r>
      <w:r>
        <w:t xml:space="preserve"> m. ___________ d. įsakymu Nr. __________</w:t>
      </w:r>
    </w:p>
    <w:p w14:paraId="2D7BDDB2" w14:textId="77777777" w:rsidR="00831C43" w:rsidRDefault="00831C43">
      <w:pPr>
        <w:ind w:firstLine="709"/>
      </w:pPr>
    </w:p>
    <w:p w14:paraId="03F4B5F5" w14:textId="77777777" w:rsidR="00831C43" w:rsidRDefault="00FE67E7">
      <w:pPr>
        <w:widowControl w:val="0"/>
        <w:shd w:val="clear" w:color="auto" w:fill="FFFFFF"/>
        <w:jc w:val="center"/>
      </w:pPr>
      <w:r>
        <w:rPr>
          <w:b/>
          <w:bCs/>
        </w:rPr>
        <w:t>AUTOBUSŲ STOČIŲ VEIKLOS NUOSTATAI</w:t>
      </w:r>
    </w:p>
    <w:p w14:paraId="5DF53123" w14:textId="77777777" w:rsidR="00831C43" w:rsidRDefault="00831C43">
      <w:pPr>
        <w:jc w:val="center"/>
      </w:pPr>
    </w:p>
    <w:p w14:paraId="226AE598" w14:textId="77777777" w:rsidR="00831C43" w:rsidRDefault="00FE67E7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>I SKYRIUS</w:t>
      </w:r>
    </w:p>
    <w:p w14:paraId="79F6BA27" w14:textId="77777777" w:rsidR="00831C43" w:rsidRDefault="00FE67E7">
      <w:pPr>
        <w:widowControl w:val="0"/>
        <w:shd w:val="clear" w:color="auto" w:fill="FFFFFF"/>
        <w:jc w:val="center"/>
      </w:pPr>
      <w:r>
        <w:rPr>
          <w:b/>
          <w:bCs/>
        </w:rPr>
        <w:t>BENDROSIOS NUOSTATOS</w:t>
      </w:r>
    </w:p>
    <w:p w14:paraId="09506461" w14:textId="77777777" w:rsidR="00831C43" w:rsidRDefault="00831C43">
      <w:pPr>
        <w:ind w:firstLine="709"/>
        <w:jc w:val="both"/>
      </w:pPr>
    </w:p>
    <w:p w14:paraId="6C279A9A" w14:textId="77777777" w:rsidR="00831C43" w:rsidRDefault="00FE67E7">
      <w:pPr>
        <w:ind w:firstLine="1134"/>
        <w:jc w:val="both"/>
      </w:pPr>
      <w:r>
        <w:t>1. Autobusų stočių veiklos nuostatai (toliau – Nuostatai) reguliuoja stočių naudojimą ir jų darbo tvarką.</w:t>
      </w:r>
    </w:p>
    <w:p w14:paraId="4662FD15" w14:textId="77777777" w:rsidR="00831C43" w:rsidRDefault="00FE67E7">
      <w:pPr>
        <w:ind w:firstLine="1134"/>
        <w:jc w:val="both"/>
      </w:pPr>
      <w:r>
        <w:t xml:space="preserve">2. Nuostatai privalomi visoms </w:t>
      </w:r>
      <w:r>
        <w:t>Lietuvos Respublikos autobusų stotims.</w:t>
      </w:r>
    </w:p>
    <w:p w14:paraId="5E93E146" w14:textId="77777777" w:rsidR="00831C43" w:rsidRDefault="00FE67E7">
      <w:pPr>
        <w:ind w:firstLine="1134"/>
        <w:jc w:val="both"/>
      </w:pPr>
      <w:r>
        <w:t>3. Nuostatuose vartojamos sąvokos suprantamos taip, kaip jos apibrėžtos Lietuvos Respublikos kelių transporto kodekse.</w:t>
      </w:r>
    </w:p>
    <w:p w14:paraId="6A3621AE" w14:textId="77777777" w:rsidR="00831C43" w:rsidRDefault="00831C43">
      <w:pPr>
        <w:ind w:firstLine="709"/>
        <w:jc w:val="both"/>
      </w:pPr>
    </w:p>
    <w:p w14:paraId="39B6F597" w14:textId="77777777" w:rsidR="00831C43" w:rsidRDefault="00FE67E7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>II SKYRIUS</w:t>
      </w:r>
    </w:p>
    <w:p w14:paraId="3AF8727B" w14:textId="77777777" w:rsidR="00831C43" w:rsidRDefault="00FE67E7">
      <w:pPr>
        <w:widowControl w:val="0"/>
        <w:shd w:val="clear" w:color="auto" w:fill="FFFFFF"/>
        <w:jc w:val="center"/>
      </w:pPr>
      <w:r>
        <w:rPr>
          <w:b/>
          <w:bCs/>
        </w:rPr>
        <w:t>AUTOBUSŲ STOČIŲ PASKIRTIS IR NAUDOJIMOSI STOČIŲ PASLAUGOMIS TVARKA</w:t>
      </w:r>
    </w:p>
    <w:p w14:paraId="684C9D3E" w14:textId="77777777" w:rsidR="00831C43" w:rsidRDefault="00831C43">
      <w:pPr>
        <w:ind w:firstLine="709"/>
        <w:jc w:val="both"/>
      </w:pPr>
    </w:p>
    <w:p w14:paraId="5E393514" w14:textId="77777777" w:rsidR="00831C43" w:rsidRDefault="00FE67E7">
      <w:pPr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4. </w:t>
      </w:r>
      <w:r>
        <w:rPr>
          <w:color w:val="000000"/>
          <w:szCs w:val="24"/>
          <w:lang w:eastAsia="lt-LT"/>
        </w:rPr>
        <w:t>Autobusų stotie</w:t>
      </w:r>
      <w:r>
        <w:rPr>
          <w:color w:val="000000"/>
          <w:szCs w:val="24"/>
          <w:lang w:eastAsia="lt-LT"/>
        </w:rPr>
        <w:t>s vadovas turi užtikrinti, kad būtų laikomasi Kelių transporto kodekso 11 straipsnio 1 dalyje nustatytos autobusų stoties paskirties.</w:t>
      </w:r>
    </w:p>
    <w:p w14:paraId="53B62D23" w14:textId="77777777" w:rsidR="00831C43" w:rsidRDefault="00FE67E7">
      <w:pPr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5. </w:t>
      </w:r>
      <w:r>
        <w:rPr>
          <w:color w:val="000000"/>
          <w:szCs w:val="24"/>
          <w:lang w:eastAsia="lt-LT"/>
        </w:rPr>
        <w:t>Vežėjai, turintys leidimus vežti keleivius reguliaraus susisiekimo autobusų maršrutais (išskyrus miesto), sudaro sutart</w:t>
      </w:r>
      <w:r>
        <w:rPr>
          <w:color w:val="000000"/>
          <w:szCs w:val="24"/>
          <w:lang w:eastAsia="lt-LT"/>
        </w:rPr>
        <w:t>is su maršrute esančių autobusų stočių savininkais (valdytojais) ir su stočių, prižiūrinčių autobusų eismo tvarkaraščių būklę reguliaraus susisiekimo autobusų maršrutų (išskyrus miesto) stotelėse (1 priedas), savininkais (valdytojais).</w:t>
      </w:r>
    </w:p>
    <w:p w14:paraId="0EEE6EA3" w14:textId="77777777" w:rsidR="00831C43" w:rsidRDefault="00FE67E7">
      <w:pPr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6. Sutartyje su vežė</w:t>
      </w:r>
      <w:r>
        <w:rPr>
          <w:szCs w:val="24"/>
          <w:lang w:eastAsia="lt-LT"/>
        </w:rPr>
        <w:t>ju negali būti įtraukti nesąžiningos ir (arba) nepagrįstos sąlygos arba reikalaujama vykdyti papildomas sąlygas, kurios dėl jų pobūdžio arba komercinės paskirties nesusijusios su keleivių vežimu.</w:t>
      </w:r>
    </w:p>
    <w:p w14:paraId="6C170B4D" w14:textId="77777777" w:rsidR="00831C43" w:rsidRDefault="00FE67E7">
      <w:pPr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7. Autobusų stoties savininkai (valdytojai) privalo patvirti</w:t>
      </w:r>
      <w:r>
        <w:rPr>
          <w:szCs w:val="24"/>
          <w:lang w:eastAsia="lt-LT"/>
        </w:rPr>
        <w:t>nti autobusų stoties darbo reglamentą ir paskelbti jį viešai (autobusų stoties interneto svetainėje).</w:t>
      </w:r>
    </w:p>
    <w:p w14:paraId="4B1969A1" w14:textId="77777777" w:rsidR="00831C43" w:rsidRDefault="00FE67E7">
      <w:pPr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8. Keleiviams turi būti pateikiama nešališka informacija ir užtikrinama, kad informacija apie visus dalyvaujančius vežėjus būtų vienodai prieinama neteiki</w:t>
      </w:r>
      <w:r>
        <w:rPr>
          <w:szCs w:val="24"/>
          <w:lang w:eastAsia="lt-LT"/>
        </w:rPr>
        <w:t>ant pirmenybės vienam iš jų.</w:t>
      </w:r>
    </w:p>
    <w:p w14:paraId="28F62B9E" w14:textId="77777777" w:rsidR="00831C43" w:rsidRDefault="00FE67E7">
      <w:pPr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9. Autobusų stotis objektyviai, išsamiai, nediskriminuodama ir nešališkai teikia dalyvaujančių vežėjų tvarkaraščius. Informacijos klasifikavimo kriterijai negrindžiami jokiu veiksniu, tiesiogiai ar netiesiogiai susijusiu su vež</w:t>
      </w:r>
      <w:r>
        <w:rPr>
          <w:szCs w:val="24"/>
          <w:lang w:eastAsia="lt-LT"/>
        </w:rPr>
        <w:t>ėjo tapatybe, ir taikomi nediskriminuojant nė vieno dalyvaujančio vežėjo.</w:t>
      </w:r>
    </w:p>
    <w:p w14:paraId="06F415FB" w14:textId="77777777" w:rsidR="00831C43" w:rsidRDefault="00FE67E7">
      <w:pPr>
        <w:ind w:firstLine="1134"/>
        <w:jc w:val="both"/>
        <w:rPr>
          <w:szCs w:val="24"/>
          <w:lang w:eastAsia="lt-LT"/>
        </w:rPr>
      </w:pPr>
      <w:r>
        <w:rPr>
          <w:szCs w:val="24"/>
          <w:lang w:eastAsia="lt-LT"/>
        </w:rPr>
        <w:t>10. Informacija apie vežėją pateikiama taip, kad vartotojai galėtų atpažinti vežėją.</w:t>
      </w:r>
    </w:p>
    <w:p w14:paraId="5CFBFFE5" w14:textId="77777777" w:rsidR="00831C43" w:rsidRDefault="00831C43">
      <w:pPr>
        <w:jc w:val="both"/>
      </w:pPr>
    </w:p>
    <w:p w14:paraId="4A94D97E" w14:textId="77777777" w:rsidR="00831C43" w:rsidRDefault="00FE67E7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>III SKYRIUS</w:t>
      </w:r>
    </w:p>
    <w:p w14:paraId="4B68A6CA" w14:textId="77777777" w:rsidR="00831C43" w:rsidRDefault="00FE67E7">
      <w:pPr>
        <w:widowControl w:val="0"/>
        <w:shd w:val="clear" w:color="auto" w:fill="FFFFFF"/>
        <w:jc w:val="center"/>
      </w:pPr>
      <w:r>
        <w:rPr>
          <w:b/>
          <w:bCs/>
        </w:rPr>
        <w:t>REIKALAVIMAI AUTOBUSŲ STOTIMS IR JŲ FUNKCIJOMS</w:t>
      </w:r>
    </w:p>
    <w:p w14:paraId="08D3826E" w14:textId="77777777" w:rsidR="00831C43" w:rsidRDefault="00831C43">
      <w:pPr>
        <w:ind w:firstLine="709"/>
        <w:jc w:val="both"/>
      </w:pPr>
    </w:p>
    <w:p w14:paraId="353F70C8" w14:textId="77777777" w:rsidR="00831C43" w:rsidRDefault="00FE67E7">
      <w:pPr>
        <w:widowControl w:val="0"/>
        <w:shd w:val="clear" w:color="auto" w:fill="FFFFFF"/>
        <w:ind w:firstLine="1134"/>
        <w:jc w:val="both"/>
      </w:pPr>
      <w:r>
        <w:t xml:space="preserve">11. Autobusų stotys turi </w:t>
      </w:r>
      <w:r>
        <w:t>turėti interneto svetainę, kurioje skelbiama keleiviams ir vežėjams aktualia informacija.</w:t>
      </w:r>
    </w:p>
    <w:p w14:paraId="5DD672AF" w14:textId="77777777" w:rsidR="00831C43" w:rsidRDefault="00FE67E7">
      <w:pPr>
        <w:widowControl w:val="0"/>
        <w:shd w:val="clear" w:color="auto" w:fill="FFFFFF"/>
        <w:ind w:firstLine="1134"/>
        <w:jc w:val="both"/>
      </w:pPr>
      <w:r>
        <w:t>12. Autobusų stotyje turi būti:</w:t>
      </w:r>
    </w:p>
    <w:p w14:paraId="06FA8F1A" w14:textId="77777777" w:rsidR="00831C43" w:rsidRDefault="00FE67E7">
      <w:pPr>
        <w:widowControl w:val="0"/>
        <w:shd w:val="clear" w:color="auto" w:fill="FFFFFF"/>
        <w:ind w:firstLine="1134"/>
        <w:jc w:val="both"/>
      </w:pPr>
      <w:r>
        <w:t>12.1. keleivių laukiamoji salė ir patalpos stoties darbuotojams;</w:t>
      </w:r>
    </w:p>
    <w:p w14:paraId="55507EA8" w14:textId="77777777" w:rsidR="00831C43" w:rsidRDefault="00FE67E7">
      <w:pPr>
        <w:widowControl w:val="0"/>
        <w:shd w:val="clear" w:color="auto" w:fill="FFFFFF"/>
        <w:ind w:firstLine="1134"/>
        <w:jc w:val="both"/>
      </w:pPr>
      <w:r>
        <w:t>12.2. keleivių įlaipinimo ir išlaipinimo peronai;</w:t>
      </w:r>
    </w:p>
    <w:p w14:paraId="0C17E54D" w14:textId="77777777" w:rsidR="00831C43" w:rsidRDefault="00FE67E7">
      <w:pPr>
        <w:widowControl w:val="0"/>
        <w:shd w:val="clear" w:color="auto" w:fill="FFFFFF"/>
        <w:ind w:firstLine="1134"/>
        <w:jc w:val="both"/>
      </w:pPr>
      <w:r>
        <w:t>12.3. autobusų stov</w:t>
      </w:r>
      <w:r>
        <w:t>ėjimo tarp reisų aikštelės;</w:t>
      </w:r>
    </w:p>
    <w:p w14:paraId="0BC46E87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en-US"/>
        </w:rPr>
      </w:pPr>
      <w:r>
        <w:rPr>
          <w:lang w:val="en-US"/>
        </w:rPr>
        <w:t xml:space="preserve">12.4. </w:t>
      </w:r>
      <w:r>
        <w:t>sanitariniai mazgai;</w:t>
      </w:r>
    </w:p>
    <w:p w14:paraId="09D0E353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en-US"/>
        </w:rPr>
      </w:pPr>
      <w:r>
        <w:rPr>
          <w:lang w:val="en-US"/>
        </w:rPr>
        <w:t xml:space="preserve">12.5. </w:t>
      </w:r>
      <w:r>
        <w:t>patalpos autobusų ekipažų poilsiui;</w:t>
      </w:r>
    </w:p>
    <w:p w14:paraId="2DAD960F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en-US"/>
        </w:rPr>
      </w:pPr>
      <w:r>
        <w:rPr>
          <w:lang w:val="en-US"/>
        </w:rPr>
        <w:t xml:space="preserve">12.6. </w:t>
      </w:r>
      <w:r>
        <w:t>bilietų kasos;</w:t>
      </w:r>
    </w:p>
    <w:p w14:paraId="77628C0C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en-US"/>
        </w:rPr>
      </w:pPr>
      <w:r>
        <w:rPr>
          <w:lang w:val="en-US"/>
        </w:rPr>
        <w:lastRenderedPageBreak/>
        <w:t xml:space="preserve">12.7. </w:t>
      </w:r>
      <w:r>
        <w:t>bagažo saugyklos.</w:t>
      </w:r>
    </w:p>
    <w:p w14:paraId="1AA396F5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en-US"/>
        </w:rPr>
      </w:pPr>
      <w:r>
        <w:rPr>
          <w:lang w:val="en-US"/>
        </w:rPr>
        <w:t xml:space="preserve">13. </w:t>
      </w:r>
      <w:r>
        <w:t>Autobusų stotyje gali būti maitinimo, spaudos platinimo punktai, miesto ir tarpmiestinis telefono ryšiai kelei</w:t>
      </w:r>
      <w:r>
        <w:t>viams.</w:t>
      </w:r>
    </w:p>
    <w:p w14:paraId="10E2EC61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en-US"/>
        </w:rPr>
      </w:pPr>
      <w:r>
        <w:rPr>
          <w:lang w:val="en-US"/>
        </w:rPr>
        <w:t xml:space="preserve">14. </w:t>
      </w:r>
      <w:r>
        <w:t>Keleiviams aptarnauti, autobusų stoties personalo darbui ir reguliariam autobusų eismui užtikrinti autobusų stotyje būtina teikti šias paslaugas:</w:t>
      </w:r>
    </w:p>
    <w:p w14:paraId="6C9301A1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de-DE"/>
        </w:rPr>
      </w:pPr>
      <w:r>
        <w:rPr>
          <w:lang w:val="de-DE"/>
        </w:rPr>
        <w:t xml:space="preserve">14.1. </w:t>
      </w:r>
      <w:r>
        <w:t>bilietų pardavimo:</w:t>
      </w:r>
    </w:p>
    <w:p w14:paraId="5EB266C3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de-DE"/>
        </w:rPr>
      </w:pPr>
      <w:r>
        <w:rPr>
          <w:lang w:val="de-DE"/>
        </w:rPr>
        <w:t xml:space="preserve">14.2. </w:t>
      </w:r>
      <w:r>
        <w:t>dispečerinės;</w:t>
      </w:r>
    </w:p>
    <w:p w14:paraId="7D1D289E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de-DE"/>
        </w:rPr>
      </w:pPr>
      <w:r>
        <w:rPr>
          <w:lang w:val="de-DE"/>
        </w:rPr>
        <w:t xml:space="preserve">14.3. </w:t>
      </w:r>
      <w:r>
        <w:t>informacijos teikimo;</w:t>
      </w:r>
    </w:p>
    <w:p w14:paraId="62AC372C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de-DE"/>
        </w:rPr>
      </w:pPr>
      <w:r>
        <w:rPr>
          <w:lang w:val="de-DE"/>
        </w:rPr>
        <w:t xml:space="preserve">14.4. </w:t>
      </w:r>
      <w:r>
        <w:t>kontrolės;</w:t>
      </w:r>
    </w:p>
    <w:p w14:paraId="03CD83E8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de-DE"/>
        </w:rPr>
      </w:pPr>
      <w:r>
        <w:rPr>
          <w:lang w:val="de-DE"/>
        </w:rPr>
        <w:t xml:space="preserve">14.5. </w:t>
      </w:r>
      <w:r>
        <w:t>bag</w:t>
      </w:r>
      <w:r>
        <w:t>ažo saugojimo;</w:t>
      </w:r>
    </w:p>
    <w:p w14:paraId="7E4A047D" w14:textId="77777777" w:rsidR="00831C43" w:rsidRDefault="00FE67E7">
      <w:pPr>
        <w:widowControl w:val="0"/>
        <w:shd w:val="clear" w:color="auto" w:fill="FFFFFF"/>
        <w:ind w:firstLine="1134"/>
        <w:jc w:val="both"/>
      </w:pPr>
      <w:r>
        <w:t>14.6. smulkių siuntų vežimo (jei tokia paslauga teikiama);</w:t>
      </w:r>
    </w:p>
    <w:p w14:paraId="789B2BDD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de-DE"/>
        </w:rPr>
      </w:pPr>
      <w:r>
        <w:rPr>
          <w:lang w:val="de-DE"/>
        </w:rPr>
        <w:t xml:space="preserve">14.7. </w:t>
      </w:r>
      <w:r>
        <w:t xml:space="preserve">neįgaliesiems ir riboto judumo asmenims turi būti teikiama pagalba, atitinkanti 2011 m. vasario 16 d. Europos Parlamento ir Tarybos reglamento (ES) Nr. 181/2011 dėl </w:t>
      </w:r>
      <w:r>
        <w:t>miesto ir tolimojo susisiekimo autobusų transporto keleivių teisių, kuriuo iš dalies keičiamas Reglamentas (EB) Nr. 2006/2004 (OL 2011 L 55, p. 1), nuostatas.</w:t>
      </w:r>
    </w:p>
    <w:p w14:paraId="73EEB23F" w14:textId="77777777" w:rsidR="00831C43" w:rsidRDefault="00FE67E7">
      <w:pPr>
        <w:widowControl w:val="0"/>
        <w:shd w:val="clear" w:color="auto" w:fill="FFFFFF"/>
        <w:ind w:firstLine="1134"/>
        <w:jc w:val="both"/>
      </w:pPr>
      <w:r>
        <w:t>15. Teisę į aptarnavimo pirmumą autobusų stotyse turi neįgalieji, keleiviai su mažamečiais vaikai</w:t>
      </w:r>
      <w:r>
        <w:t>s, nėščios moterys, senyvo amžiaus  keleiviai.</w:t>
      </w:r>
    </w:p>
    <w:p w14:paraId="2739098F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de-DE"/>
        </w:rPr>
      </w:pPr>
      <w:r>
        <w:rPr>
          <w:lang w:val="de-DE"/>
        </w:rPr>
        <w:t xml:space="preserve">16. </w:t>
      </w:r>
      <w:r>
        <w:t>Bilietų pardavimo funkcijos:</w:t>
      </w:r>
    </w:p>
    <w:p w14:paraId="5230715D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fr-FR"/>
        </w:rPr>
      </w:pPr>
      <w:r>
        <w:rPr>
          <w:lang w:val="fr-FR"/>
        </w:rPr>
        <w:t xml:space="preserve">16.1. </w:t>
      </w:r>
      <w:r>
        <w:t>parduoti bilietus į tos pačios dienos reisus;</w:t>
      </w:r>
    </w:p>
    <w:p w14:paraId="2779E264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fr-FR"/>
        </w:rPr>
      </w:pPr>
      <w:r>
        <w:rPr>
          <w:lang w:val="fr-FR"/>
        </w:rPr>
        <w:t xml:space="preserve">16.2. </w:t>
      </w:r>
      <w:r>
        <w:t>parduoti bilietus iš anksto (taip pat – grįžimui iš kitų miestų);</w:t>
      </w:r>
    </w:p>
    <w:p w14:paraId="09EED57F" w14:textId="77777777" w:rsidR="00831C43" w:rsidRDefault="00FE67E7">
      <w:pPr>
        <w:widowControl w:val="0"/>
        <w:shd w:val="clear" w:color="auto" w:fill="FFFFFF"/>
        <w:ind w:firstLine="1134"/>
        <w:jc w:val="both"/>
      </w:pPr>
      <w:r>
        <w:t xml:space="preserve">16.3. išduoti nustatyta tvarka užpildytus </w:t>
      </w:r>
      <w:r>
        <w:t>žiniaraščius apie parduotus bilietus autobusų ekipažams.</w:t>
      </w:r>
    </w:p>
    <w:p w14:paraId="2A812156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fr-FR"/>
        </w:rPr>
      </w:pPr>
      <w:r>
        <w:rPr>
          <w:lang w:val="fr-FR"/>
        </w:rPr>
        <w:t xml:space="preserve">17. </w:t>
      </w:r>
      <w:r>
        <w:rPr>
          <w:color w:val="000000"/>
        </w:rPr>
        <w:t>Išankstinis bilietų (bagažo kvitų) pardavimas ir užsakymų jiems priėmimas pradedamas ne vėliau kaip prieš 7 kalendorines dienas iki išvykimo dienos ir baigiamas išvykimo išvakarėse. Jeigu užsakov</w:t>
      </w:r>
      <w:r>
        <w:rPr>
          <w:color w:val="000000"/>
        </w:rPr>
        <w:t>as bilietų (bagažo kvitų) neatsiima: užsakytų iš anksto – per dvi paras, užsakytų tai pačiai dienai – likus 1 valandai iki išvykimo, užsakymas anuliuojamas ir bilietai (bagažo kvitai) parduodami bendra tvarka.</w:t>
      </w:r>
    </w:p>
    <w:p w14:paraId="36E89C8F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de-DE"/>
        </w:rPr>
      </w:pPr>
      <w:r>
        <w:rPr>
          <w:lang w:val="de-DE"/>
        </w:rPr>
        <w:t xml:space="preserve">18. </w:t>
      </w:r>
      <w:r>
        <w:t>Dispečerinės funkcijos:</w:t>
      </w:r>
    </w:p>
    <w:p w14:paraId="14CAFC42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de-DE"/>
        </w:rPr>
      </w:pPr>
      <w:r>
        <w:rPr>
          <w:lang w:val="de-DE"/>
        </w:rPr>
        <w:t xml:space="preserve">18.1. </w:t>
      </w:r>
      <w:r>
        <w:t>kontroliuoti</w:t>
      </w:r>
      <w:r>
        <w:t>, ar autobusai atvyksta į stotį laiku, ar laiku pastatomi į aikšteles ir išvyksta pagal numatytą tvarkaraštį;</w:t>
      </w:r>
    </w:p>
    <w:p w14:paraId="4A3C2F71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de-DE"/>
        </w:rPr>
      </w:pPr>
      <w:r>
        <w:rPr>
          <w:lang w:val="de-DE"/>
        </w:rPr>
        <w:t xml:space="preserve">18.2. </w:t>
      </w:r>
      <w:r>
        <w:t>organizuoti ir kontroliuoti smulkių siuntų vežimą (kur tokia paslauga teikiama);</w:t>
      </w:r>
    </w:p>
    <w:p w14:paraId="01F4D620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de-DE"/>
        </w:rPr>
      </w:pPr>
      <w:r>
        <w:rPr>
          <w:lang w:val="de-DE"/>
        </w:rPr>
        <w:t xml:space="preserve">18.3. </w:t>
      </w:r>
      <w:r>
        <w:t>sutrikus reguliariam autobusų eismui, nedelsiant apie</w:t>
      </w:r>
      <w:r>
        <w:t xml:space="preserve"> tai pranešti vežėjui ir informacijos tarnybai;</w:t>
      </w:r>
    </w:p>
    <w:p w14:paraId="28C73576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de-DE"/>
        </w:rPr>
      </w:pPr>
      <w:r>
        <w:rPr>
          <w:lang w:val="de-DE"/>
        </w:rPr>
        <w:t xml:space="preserve">18.4. </w:t>
      </w:r>
      <w:r>
        <w:t>rinkti iš autobusų ekipažų žinias apie pasikeitusias eismo sąlygas bei pablogėjusią kelių ir autobusų stotelių būklę maršrutuose, visa tai registruoti kelių būklės žurnale, surinktą informaciją teikti k</w:t>
      </w:r>
      <w:r>
        <w:t>eleiviams, atitinkamoms kelius aptarnaujančioms tarnyboms bei vežėjams; atitinkamoms savo ir kitų stočių tarnyboms teikti informaciją apie nepatenkinamą eismo tvarkaraščių būklę arba kai jų nėra autobusų stotelėse;</w:t>
      </w:r>
    </w:p>
    <w:p w14:paraId="7D5AAD4F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de-DE"/>
        </w:rPr>
      </w:pPr>
      <w:r>
        <w:rPr>
          <w:lang w:val="de-DE"/>
        </w:rPr>
        <w:t xml:space="preserve">18.5. </w:t>
      </w:r>
      <w:r>
        <w:t>maršrutuose pablogėjus eismo sąlygo</w:t>
      </w:r>
      <w:r>
        <w:t>ms, apie tai pranešti stoties vadovui arba jį pavaduojančiam asmeniui; pagal jų nurodymus dispečeris privalo sustabdyti autobusų eismą iš autobusų stoties; pagerėjus eismo sąlygoms ir stoties vadovybei leidus, atnaujinti eismą;</w:t>
      </w:r>
    </w:p>
    <w:p w14:paraId="1AB79E72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de-DE"/>
        </w:rPr>
      </w:pPr>
      <w:r>
        <w:rPr>
          <w:lang w:val="de-DE"/>
        </w:rPr>
        <w:t xml:space="preserve">18.6. </w:t>
      </w:r>
      <w:r>
        <w:t>organizuoti vairuotojų</w:t>
      </w:r>
      <w:r>
        <w:t xml:space="preserve"> neblaivumo (girtumo) tikrinimą, apie tai pažymint kelionės lape, autobusų ekipažų </w:t>
      </w:r>
      <w:proofErr w:type="spellStart"/>
      <w:r>
        <w:t>priešreisinį</w:t>
      </w:r>
      <w:proofErr w:type="spellEnd"/>
      <w:r>
        <w:t xml:space="preserve"> patikrinimą (privalomų ekipažams dokumentų turėjimą) ir </w:t>
      </w:r>
      <w:proofErr w:type="spellStart"/>
      <w:r>
        <w:t>tarpreisinį</w:t>
      </w:r>
      <w:proofErr w:type="spellEnd"/>
      <w:r>
        <w:t xml:space="preserve"> poilsį bei teikti vežėjams informaciją apie nustatytus pažeidimus, kai vežėjai ir autobusų s</w:t>
      </w:r>
      <w:r>
        <w:t xml:space="preserve">točių savininkai (valdytojai) dėl to yra sudarę atitinkamas sutartis; </w:t>
      </w:r>
    </w:p>
    <w:p w14:paraId="114640E0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de-DE"/>
        </w:rPr>
      </w:pPr>
      <w:r>
        <w:rPr>
          <w:lang w:val="de-DE"/>
        </w:rPr>
        <w:t xml:space="preserve">18.7. </w:t>
      </w:r>
      <w:r>
        <w:t>pranešti kitoms autobusų stotims apie laikiną eismo nutraukimą bei jo atnaujinimą;</w:t>
      </w:r>
    </w:p>
    <w:p w14:paraId="4F339376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de-DE"/>
        </w:rPr>
      </w:pPr>
      <w:r>
        <w:rPr>
          <w:lang w:val="de-DE"/>
        </w:rPr>
        <w:t xml:space="preserve">18.8. </w:t>
      </w:r>
      <w:r>
        <w:t>pranešti apie autobuso techninį gedimą maršrutu keleivius vežančiam vežėjui, kartu su vežė</w:t>
      </w:r>
      <w:r>
        <w:t>ju imtis skubių priemonių sugedusį autobusą pakeisti techniškai tvarkingu;</w:t>
      </w:r>
    </w:p>
    <w:p w14:paraId="08ACF7A7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de-DE"/>
        </w:rPr>
      </w:pPr>
      <w:r>
        <w:rPr>
          <w:lang w:val="de-DE"/>
        </w:rPr>
        <w:t xml:space="preserve">18.9. </w:t>
      </w:r>
      <w:r>
        <w:t>skelbti autobusų stotyje apie autobusų atvykimą, išvykimą, vėlavimą ir nutraukiamus reisus bei teikti kitą keleiviams reikalingą informaciją;</w:t>
      </w:r>
    </w:p>
    <w:p w14:paraId="6EA576B7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de-DE"/>
        </w:rPr>
      </w:pPr>
      <w:r>
        <w:rPr>
          <w:lang w:val="de-DE"/>
        </w:rPr>
        <w:t xml:space="preserve">18.10. </w:t>
      </w:r>
      <w:r>
        <w:t xml:space="preserve">registruoti duomenis apie </w:t>
      </w:r>
      <w:r>
        <w:t xml:space="preserve">eismo reguliarumą eismo registracijos lape ir žymėti </w:t>
      </w:r>
      <w:r>
        <w:lastRenderedPageBreak/>
        <w:t>autobusų atvykimo ir išvykimo laikus kelionės lapuose;</w:t>
      </w:r>
    </w:p>
    <w:p w14:paraId="5CC83B65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de-DE"/>
        </w:rPr>
      </w:pPr>
      <w:r>
        <w:rPr>
          <w:lang w:val="de-DE"/>
        </w:rPr>
        <w:t xml:space="preserve">18.11. </w:t>
      </w:r>
      <w:r>
        <w:t>pranešti maršrute esančioms autobusų stotims apie autobuso vėlavimą, reiso nutraukimą arba sutrumpinimą, maršruto pakeitimą, o galinei stočia</w:t>
      </w:r>
      <w:r>
        <w:t>i – ir apie autobuso tipo ar talpos pakeitimą.</w:t>
      </w:r>
    </w:p>
    <w:p w14:paraId="089B87B5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de-DE"/>
        </w:rPr>
      </w:pPr>
      <w:r>
        <w:rPr>
          <w:lang w:val="de-DE"/>
        </w:rPr>
        <w:t xml:space="preserve">19. </w:t>
      </w:r>
      <w:r>
        <w:t>Rekomenduojama dispečerio darbo vietą įrengti tokioje stoties vietoje, iš kurios būtų gerai matomos autobusų išvykimo bei atvykimo aikštelės.</w:t>
      </w:r>
    </w:p>
    <w:p w14:paraId="51B1E173" w14:textId="77777777" w:rsidR="00831C43" w:rsidRDefault="00FE67E7">
      <w:pPr>
        <w:widowControl w:val="0"/>
        <w:shd w:val="clear" w:color="auto" w:fill="FFFFFF"/>
        <w:ind w:firstLine="1134"/>
        <w:jc w:val="both"/>
      </w:pPr>
      <w:r>
        <w:t>20. Dispečerinėje įrengiamas autobusų atvykimo (išvykimo) laiko</w:t>
      </w:r>
      <w:r>
        <w:t xml:space="preserve"> žymėjimo kelionės dokumentuose postas. Jei yra sąlygos, tikslinga jį įrengti atvykimo ir išvykimo peronuose, naudojant distancinį valdymą iš dispečerinės. Kai dispečerinė nedirba, laikas kelionės dokumentuose turi būti žymimas automatiniu būdu.</w:t>
      </w:r>
    </w:p>
    <w:p w14:paraId="3022E98C" w14:textId="77777777" w:rsidR="00831C43" w:rsidRDefault="00FE67E7">
      <w:pPr>
        <w:widowControl w:val="0"/>
        <w:shd w:val="clear" w:color="auto" w:fill="FFFFFF"/>
        <w:ind w:firstLine="1134"/>
        <w:jc w:val="both"/>
      </w:pPr>
      <w:r>
        <w:t>21. Dispeč</w:t>
      </w:r>
      <w:r>
        <w:t>erinėje turi būti:</w:t>
      </w:r>
    </w:p>
    <w:p w14:paraId="4666617F" w14:textId="77777777" w:rsidR="00831C43" w:rsidRDefault="00FE67E7">
      <w:pPr>
        <w:widowControl w:val="0"/>
        <w:shd w:val="clear" w:color="auto" w:fill="FFFFFF"/>
        <w:ind w:firstLine="1134"/>
        <w:jc w:val="both"/>
      </w:pPr>
      <w:r>
        <w:t>21.1. keleivių ir bagažo vežimą reglamentuojanti informacija (dėl tarifų, vežimo lengvatų, keleivių vežimo taisyklių taikymo ir kt.);</w:t>
      </w:r>
    </w:p>
    <w:p w14:paraId="60B72378" w14:textId="77777777" w:rsidR="00831C43" w:rsidRDefault="00FE67E7">
      <w:pPr>
        <w:widowControl w:val="0"/>
        <w:shd w:val="clear" w:color="auto" w:fill="FFFFFF"/>
        <w:ind w:firstLine="1134"/>
        <w:jc w:val="both"/>
      </w:pPr>
      <w:r>
        <w:t>21.2. vietinio (išskyrus miesto), tolimojo ir tarptautinio susisiekimo maršrutų tvarkaraščiai;</w:t>
      </w:r>
    </w:p>
    <w:p w14:paraId="6CD8A6BB" w14:textId="77777777" w:rsidR="00831C43" w:rsidRDefault="00FE67E7">
      <w:pPr>
        <w:widowControl w:val="0"/>
        <w:shd w:val="clear" w:color="auto" w:fill="FFFFFF"/>
        <w:ind w:firstLine="1134"/>
        <w:jc w:val="both"/>
      </w:pPr>
      <w:r>
        <w:t>21.3. ša</w:t>
      </w:r>
      <w:r>
        <w:t>lies autobusų stočių dispečerinių, informacijos tarnybų, vežėjų vadovų kontaktinė informacija;</w:t>
      </w:r>
    </w:p>
    <w:p w14:paraId="4E81429A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en-US"/>
        </w:rPr>
      </w:pPr>
      <w:r>
        <w:rPr>
          <w:lang w:val="en-US"/>
        </w:rPr>
        <w:t xml:space="preserve">21.4. </w:t>
      </w:r>
      <w:r>
        <w:t>autobusų eismo registracijos lapas;</w:t>
      </w:r>
    </w:p>
    <w:p w14:paraId="4FE4F2B9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en-US"/>
        </w:rPr>
      </w:pPr>
      <w:r>
        <w:rPr>
          <w:lang w:val="en-US"/>
        </w:rPr>
        <w:t xml:space="preserve">21.5. </w:t>
      </w:r>
      <w:r>
        <w:t>autobusų stoties darbo ataskaita;</w:t>
      </w:r>
    </w:p>
    <w:p w14:paraId="1D4088D0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en-US"/>
        </w:rPr>
      </w:pPr>
      <w:r>
        <w:rPr>
          <w:lang w:val="en-US"/>
        </w:rPr>
        <w:t xml:space="preserve">21.6. </w:t>
      </w:r>
      <w:r>
        <w:t>kelių būklės žurnalas;</w:t>
      </w:r>
    </w:p>
    <w:p w14:paraId="4FCD52BA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en-US"/>
        </w:rPr>
      </w:pPr>
      <w:r>
        <w:rPr>
          <w:lang w:val="en-US"/>
        </w:rPr>
        <w:t xml:space="preserve">21.7. </w:t>
      </w:r>
      <w:r>
        <w:t>kelius prižiūrinčių tarnybų sąrašai, telefon</w:t>
      </w:r>
      <w:r>
        <w:t>ai, kelių schema;</w:t>
      </w:r>
    </w:p>
    <w:p w14:paraId="12EB8822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en-US"/>
        </w:rPr>
      </w:pPr>
      <w:r>
        <w:rPr>
          <w:lang w:val="en-US"/>
        </w:rPr>
        <w:t xml:space="preserve">21.8. </w:t>
      </w:r>
      <w:r>
        <w:t>vairuotojų neblaivumo (girtumo) tikrinimo specialioji (-</w:t>
      </w:r>
      <w:proofErr w:type="spellStart"/>
      <w:r>
        <w:t>iosios</w:t>
      </w:r>
      <w:proofErr w:type="spellEnd"/>
      <w:r>
        <w:t xml:space="preserve">) techninė (-ės) priemonė (-ės) ir tikrinimų registracijos žurnalas. </w:t>
      </w:r>
    </w:p>
    <w:p w14:paraId="70D23CAB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en-US"/>
        </w:rPr>
      </w:pPr>
      <w:r>
        <w:rPr>
          <w:lang w:val="en-US"/>
        </w:rPr>
        <w:t xml:space="preserve">22. </w:t>
      </w:r>
      <w:r>
        <w:t xml:space="preserve">Autobusų stoties darbo ataskaita sudaroma kasdien pagal įregistruotus autobusų eismo </w:t>
      </w:r>
      <w:r>
        <w:t>registracijos lape pažeidimus bei įvertinant operatyvius pakeitimus autobusų eisme.</w:t>
      </w:r>
    </w:p>
    <w:p w14:paraId="4C6E4E6D" w14:textId="77777777" w:rsidR="00831C43" w:rsidRDefault="00FE67E7">
      <w:pPr>
        <w:widowControl w:val="0"/>
        <w:shd w:val="clear" w:color="auto" w:fill="FFFFFF"/>
        <w:ind w:firstLine="1134"/>
        <w:jc w:val="both"/>
      </w:pPr>
      <w:r>
        <w:t xml:space="preserve">23. Pranešimai apie nutrauktus reisus bei nereguliarų autobusų eismą kartą per mėnesį iki kito mėnesio 5 dienos perduodami atitinkamam vežėjui. Lietuvos </w:t>
      </w:r>
      <w:r>
        <w:t>transporto saugos administracijai, taip pat savivaldybėms (dėl vietinio (išskyrus miesto) susisiekimo maršrutų) tokie pranešimai pagal atskirus vežėjus pateikiami kartą per ketvirtį iki kito ketvirčio pirmo mėnesio 20 dienos.</w:t>
      </w:r>
    </w:p>
    <w:p w14:paraId="3EC3916D" w14:textId="77777777" w:rsidR="00831C43" w:rsidRDefault="00FE67E7">
      <w:pPr>
        <w:widowControl w:val="0"/>
        <w:shd w:val="clear" w:color="auto" w:fill="FFFFFF"/>
        <w:ind w:firstLine="1134"/>
        <w:jc w:val="both"/>
      </w:pPr>
      <w:r>
        <w:t>24. Kontrolės funkcijos – išvy</w:t>
      </w:r>
      <w:r>
        <w:t>kstančių į maršrutus ir grįžtančių iš maršrutų autobusų eismo tvarkaraščių laikymasis, jų apipavidalinimas, sanitarinė būklė, ekipažų kelionės dokumentai, keleivių bilietai.</w:t>
      </w:r>
    </w:p>
    <w:p w14:paraId="6FAED6AA" w14:textId="77777777" w:rsidR="00831C43" w:rsidRDefault="00FE67E7">
      <w:pPr>
        <w:tabs>
          <w:tab w:val="left" w:pos="1276"/>
        </w:tabs>
        <w:ind w:firstLine="1134"/>
        <w:jc w:val="both"/>
        <w:rPr>
          <w:color w:val="000000"/>
        </w:rPr>
      </w:pPr>
      <w:r>
        <w:rPr>
          <w:color w:val="000000"/>
        </w:rPr>
        <w:t>25. Stotyse bagažas saugomas stoties vadovo nustatyta tvarka.</w:t>
      </w:r>
    </w:p>
    <w:p w14:paraId="216E3052" w14:textId="77777777" w:rsidR="00831C43" w:rsidRDefault="00FE67E7">
      <w:pPr>
        <w:ind w:firstLine="1134"/>
        <w:rPr>
          <w:szCs w:val="24"/>
          <w:lang w:eastAsia="lt-LT"/>
        </w:rPr>
      </w:pPr>
      <w:r>
        <w:rPr>
          <w:szCs w:val="24"/>
          <w:lang w:eastAsia="lt-LT"/>
        </w:rPr>
        <w:t xml:space="preserve">26. </w:t>
      </w:r>
      <w:r>
        <w:rPr>
          <w:color w:val="000000"/>
        </w:rPr>
        <w:t>Autobusų stoties</w:t>
      </w:r>
      <w:r>
        <w:rPr>
          <w:color w:val="000000"/>
        </w:rPr>
        <w:t xml:space="preserve"> teritorijoje rasti daiktai atiduodami į šios autobusų stoties bagažinę arba į kitą stoties vadovo nustatytą vietą, žinomą ekipažams ir keleiviams.</w:t>
      </w:r>
    </w:p>
    <w:p w14:paraId="1B40774F" w14:textId="77777777" w:rsidR="00831C43" w:rsidRDefault="00FE67E7">
      <w:pPr>
        <w:tabs>
          <w:tab w:val="left" w:pos="1276"/>
        </w:tabs>
        <w:ind w:firstLine="1134"/>
        <w:jc w:val="both"/>
        <w:rPr>
          <w:color w:val="000000"/>
        </w:rPr>
      </w:pPr>
      <w:r>
        <w:rPr>
          <w:color w:val="000000"/>
        </w:rPr>
        <w:t>27. Daiktai grąžinami savininkui, bet prieš tai jis turi atlyginti daikto išlaikymo ir kitas su radiniu susi</w:t>
      </w:r>
      <w:r>
        <w:rPr>
          <w:color w:val="000000"/>
        </w:rPr>
        <w:t>jusias išlaidas.</w:t>
      </w:r>
    </w:p>
    <w:p w14:paraId="132DCA0C" w14:textId="77777777" w:rsidR="00831C43" w:rsidRDefault="00FE67E7">
      <w:pPr>
        <w:widowControl w:val="0"/>
        <w:shd w:val="clear" w:color="auto" w:fill="FFFFFF"/>
        <w:ind w:firstLine="1134"/>
        <w:jc w:val="both"/>
      </w:pPr>
      <w:r>
        <w:t>28. Autobusų stotyse turi būti vizuali informacija. Stoties darbuotojai informaciją turi teikti žodžiu ir telefonu, taip pat stoties interneto svetainėje. Informacija turi būti glausta, tiksli, patikima. Autobusų stočių valdytojai negali n</w:t>
      </w:r>
      <w:r>
        <w:t xml:space="preserve">audoti telefono ryšio numerio, kuriuo skambinant būtų taikoma didesnė telefono ryšio paslaugų kaina, negu nustatyta vartotojo ir telefono ryšio paslaugų teikėjo sutartyje. </w:t>
      </w:r>
    </w:p>
    <w:p w14:paraId="5EACF89D" w14:textId="77777777" w:rsidR="00831C43" w:rsidRDefault="00FE67E7">
      <w:pPr>
        <w:widowControl w:val="0"/>
        <w:shd w:val="clear" w:color="auto" w:fill="FFFFFF"/>
        <w:ind w:firstLine="1134"/>
        <w:jc w:val="both"/>
      </w:pPr>
      <w:r>
        <w:t>29. Kai kurias stoties funkcijas gali teikti kitos įmonės pagal sutartis su stoties</w:t>
      </w:r>
      <w:r>
        <w:t xml:space="preserve"> savininku (valdytoju).</w:t>
      </w:r>
    </w:p>
    <w:p w14:paraId="2CCA791A" w14:textId="77777777" w:rsidR="00831C43" w:rsidRDefault="00831C43">
      <w:pPr>
        <w:widowControl w:val="0"/>
        <w:shd w:val="clear" w:color="auto" w:fill="FFFFFF"/>
        <w:jc w:val="both"/>
      </w:pPr>
    </w:p>
    <w:p w14:paraId="6E949AA8" w14:textId="77777777" w:rsidR="00831C43" w:rsidRDefault="00FE67E7">
      <w:pPr>
        <w:widowControl w:val="0"/>
        <w:shd w:val="clear" w:color="auto" w:fill="FFFFFF"/>
        <w:jc w:val="center"/>
        <w:rPr>
          <w:b/>
        </w:rPr>
      </w:pPr>
      <w:r>
        <w:rPr>
          <w:b/>
        </w:rPr>
        <w:t>IV SKYRIUS</w:t>
      </w:r>
    </w:p>
    <w:p w14:paraId="55FE126B" w14:textId="77777777" w:rsidR="00831C43" w:rsidRDefault="00FE67E7">
      <w:pPr>
        <w:jc w:val="center"/>
        <w:rPr>
          <w:b/>
          <w:bCs/>
        </w:rPr>
      </w:pPr>
      <w:r>
        <w:rPr>
          <w:b/>
          <w:bCs/>
        </w:rPr>
        <w:t>PRIVALOMA INFORMACIJA KELEIVIAMS</w:t>
      </w:r>
    </w:p>
    <w:p w14:paraId="0F158896" w14:textId="77777777" w:rsidR="00831C43" w:rsidRDefault="00831C43">
      <w:pPr>
        <w:ind w:firstLine="709"/>
        <w:jc w:val="both"/>
      </w:pPr>
    </w:p>
    <w:p w14:paraId="4825A3AE" w14:textId="77777777" w:rsidR="00831C43" w:rsidRDefault="00FE67E7">
      <w:pPr>
        <w:ind w:firstLine="1134"/>
        <w:jc w:val="both"/>
      </w:pPr>
      <w:r>
        <w:t>30. Autobusų stoties keleivių laukiamojoje salėje turi būti pateikta ši informacija:</w:t>
      </w:r>
    </w:p>
    <w:p w14:paraId="67052519" w14:textId="77777777" w:rsidR="00831C43" w:rsidRDefault="00FE67E7">
      <w:pPr>
        <w:ind w:firstLine="1134"/>
        <w:jc w:val="both"/>
      </w:pPr>
      <w:r>
        <w:t>30.1. vietinio, tolimojo ir tarptautinio susisiekimo tvarkaraščiai;</w:t>
      </w:r>
    </w:p>
    <w:p w14:paraId="4B6D1695" w14:textId="77777777" w:rsidR="00831C43" w:rsidRDefault="00FE67E7">
      <w:pPr>
        <w:ind w:firstLine="1134"/>
        <w:jc w:val="both"/>
        <w:rPr>
          <w:lang w:val="en-US"/>
        </w:rPr>
      </w:pPr>
      <w:r>
        <w:rPr>
          <w:lang w:val="en-US"/>
        </w:rPr>
        <w:t xml:space="preserve">30.2. </w:t>
      </w:r>
      <w:r>
        <w:t>vietinio, tolimojo ir tarpt</w:t>
      </w:r>
      <w:r>
        <w:t>autinio susisiekimo maršrutų schemos;</w:t>
      </w:r>
    </w:p>
    <w:p w14:paraId="33083E8D" w14:textId="77777777" w:rsidR="00831C43" w:rsidRDefault="00FE67E7">
      <w:pPr>
        <w:ind w:firstLine="1134"/>
        <w:jc w:val="both"/>
        <w:rPr>
          <w:lang w:val="en-US"/>
        </w:rPr>
      </w:pPr>
      <w:r>
        <w:rPr>
          <w:lang w:val="en-US"/>
        </w:rPr>
        <w:lastRenderedPageBreak/>
        <w:t xml:space="preserve">30.3. </w:t>
      </w:r>
      <w:r>
        <w:t>stendas operatyviai informacijai pateikti;</w:t>
      </w:r>
    </w:p>
    <w:p w14:paraId="5E547AB1" w14:textId="77777777" w:rsidR="00831C43" w:rsidRDefault="00FE67E7">
      <w:pPr>
        <w:ind w:firstLine="1134"/>
        <w:jc w:val="both"/>
        <w:rPr>
          <w:lang w:val="en-US"/>
        </w:rPr>
      </w:pPr>
      <w:r>
        <w:rPr>
          <w:lang w:val="en-US"/>
        </w:rPr>
        <w:t xml:space="preserve">30.4. </w:t>
      </w:r>
      <w:r>
        <w:t>išrašai iš keleivių ir bagažo vežimo taisyklių, informacija apie lengvatas keleiviams;</w:t>
      </w:r>
    </w:p>
    <w:p w14:paraId="69F3BF7A" w14:textId="77777777" w:rsidR="00831C43" w:rsidRDefault="00FE67E7">
      <w:pPr>
        <w:ind w:firstLine="1134"/>
        <w:jc w:val="both"/>
        <w:rPr>
          <w:lang w:val="en-US"/>
        </w:rPr>
      </w:pPr>
      <w:r>
        <w:rPr>
          <w:lang w:val="en-US"/>
        </w:rPr>
        <w:t xml:space="preserve">30.5. </w:t>
      </w:r>
      <w:r>
        <w:t>informacija apie autobusų stoties tarnybų išdėstymą bei jų darbo laiką</w:t>
      </w:r>
      <w:r>
        <w:t>;</w:t>
      </w:r>
    </w:p>
    <w:p w14:paraId="470589BB" w14:textId="77777777" w:rsidR="00831C43" w:rsidRDefault="00FE67E7">
      <w:pPr>
        <w:ind w:firstLine="1134"/>
        <w:jc w:val="both"/>
        <w:rPr>
          <w:lang w:val="de-DE"/>
        </w:rPr>
      </w:pPr>
      <w:r>
        <w:rPr>
          <w:lang w:val="de-DE"/>
        </w:rPr>
        <w:t xml:space="preserve">30.6. </w:t>
      </w:r>
      <w:r>
        <w:t>informacija apie stoties teikiamas paslaugas keleiviams.</w:t>
      </w:r>
    </w:p>
    <w:p w14:paraId="3A819FAE" w14:textId="77777777" w:rsidR="00831C43" w:rsidRDefault="00FE67E7">
      <w:pPr>
        <w:ind w:firstLine="1134"/>
        <w:jc w:val="both"/>
        <w:rPr>
          <w:lang w:val="de-DE"/>
        </w:rPr>
      </w:pPr>
      <w:r>
        <w:rPr>
          <w:lang w:val="de-DE"/>
        </w:rPr>
        <w:t xml:space="preserve">30.7. </w:t>
      </w:r>
      <w:r>
        <w:t xml:space="preserve">informacija apie kompetentingas įstaigas (pavadinimai, adresai, telefonai, faksai, elektroninio pašto adresai), kurioms keleiviai gali pateikti pasiūlymus, pageidavimus ir pastabas dėl </w:t>
      </w:r>
      <w:r>
        <w:t xml:space="preserve">vietinio (priemiestinio) arba tolimojo reguliaraus susisiekimo autobusų maršrutų, stotelių, tvarkaraščių ir pan. </w:t>
      </w:r>
    </w:p>
    <w:p w14:paraId="19D79A66" w14:textId="77777777" w:rsidR="00831C43" w:rsidRDefault="00FE67E7">
      <w:pPr>
        <w:ind w:firstLine="1134"/>
        <w:jc w:val="both"/>
        <w:rPr>
          <w:lang w:val="de-DE"/>
        </w:rPr>
      </w:pPr>
      <w:r>
        <w:rPr>
          <w:lang w:val="de-DE"/>
        </w:rPr>
        <w:t xml:space="preserve">31. </w:t>
      </w:r>
      <w:r>
        <w:t>Autobusų stoties peronuose turi būti pateikta ši informacija:</w:t>
      </w:r>
    </w:p>
    <w:p w14:paraId="7F4AF9C4" w14:textId="77777777" w:rsidR="00831C43" w:rsidRDefault="00FE67E7">
      <w:pPr>
        <w:ind w:firstLine="1134"/>
        <w:jc w:val="both"/>
        <w:rPr>
          <w:lang w:val="de-DE"/>
        </w:rPr>
      </w:pPr>
      <w:r>
        <w:rPr>
          <w:lang w:val="de-DE"/>
        </w:rPr>
        <w:t xml:space="preserve">31.1. </w:t>
      </w:r>
      <w:r>
        <w:t xml:space="preserve">išvykimo peronuose – maršrutų krypčių pavadinimai ir </w:t>
      </w:r>
      <w:r>
        <w:t>išvykstančių autobusų eismo tvarkaraščiai;</w:t>
      </w:r>
    </w:p>
    <w:p w14:paraId="7A5CD5AD" w14:textId="77777777" w:rsidR="00831C43" w:rsidRDefault="00FE67E7">
      <w:pPr>
        <w:ind w:firstLine="1134"/>
        <w:jc w:val="both"/>
        <w:rPr>
          <w:lang w:val="de-DE"/>
        </w:rPr>
      </w:pPr>
      <w:r>
        <w:rPr>
          <w:lang w:val="de-DE"/>
        </w:rPr>
        <w:t xml:space="preserve">31.2. </w:t>
      </w:r>
      <w:r>
        <w:t>atvykimo perone – tolimojo ir tarptautinio susisiekimo autobusų atvykimo tvarkaraščiai.</w:t>
      </w:r>
    </w:p>
    <w:p w14:paraId="567E4941" w14:textId="77777777" w:rsidR="00831C43" w:rsidRDefault="00FE67E7">
      <w:pPr>
        <w:ind w:firstLine="1134"/>
        <w:jc w:val="both"/>
        <w:rPr>
          <w:lang w:val="de-DE"/>
        </w:rPr>
      </w:pPr>
      <w:r>
        <w:rPr>
          <w:lang w:val="de-DE"/>
        </w:rPr>
        <w:t xml:space="preserve">32. </w:t>
      </w:r>
      <w:r>
        <w:t>Autobusų stoties keleivių laukiamojoje salėje ir peronuose turi būti teikiama garsinė ir interaktyvi vaizdinė infor</w:t>
      </w:r>
      <w:r>
        <w:t>macija keleiviams apie autobusų eismą ir jo pasikeitimus.</w:t>
      </w:r>
    </w:p>
    <w:p w14:paraId="45CD22BF" w14:textId="77777777" w:rsidR="00831C43" w:rsidRDefault="00831C43">
      <w:pPr>
        <w:jc w:val="both"/>
        <w:rPr>
          <w:lang w:val="de-DE"/>
        </w:rPr>
      </w:pPr>
    </w:p>
    <w:p w14:paraId="69BAD4F2" w14:textId="77777777" w:rsidR="00831C43" w:rsidRDefault="00FE67E7">
      <w:pPr>
        <w:jc w:val="center"/>
        <w:rPr>
          <w:b/>
          <w:lang w:val="de-DE"/>
        </w:rPr>
      </w:pPr>
      <w:r>
        <w:rPr>
          <w:b/>
          <w:lang w:val="de-DE"/>
        </w:rPr>
        <w:t>V SKYRIUS</w:t>
      </w:r>
    </w:p>
    <w:p w14:paraId="3F8846C5" w14:textId="77777777" w:rsidR="00831C43" w:rsidRDefault="00FE67E7">
      <w:pPr>
        <w:widowControl w:val="0"/>
        <w:shd w:val="clear" w:color="auto" w:fill="FFFFFF"/>
        <w:jc w:val="center"/>
      </w:pPr>
      <w:r>
        <w:rPr>
          <w:b/>
          <w:bCs/>
        </w:rPr>
        <w:t>PASLAUGŲ TARIFAI</w:t>
      </w:r>
    </w:p>
    <w:p w14:paraId="6A0FBAE5" w14:textId="77777777" w:rsidR="00831C43" w:rsidRDefault="00831C43">
      <w:pPr>
        <w:ind w:firstLine="709"/>
        <w:jc w:val="both"/>
      </w:pPr>
    </w:p>
    <w:p w14:paraId="7881E065" w14:textId="77777777" w:rsidR="00831C43" w:rsidRDefault="00FE67E7">
      <w:pPr>
        <w:widowControl w:val="0"/>
        <w:shd w:val="clear" w:color="auto" w:fill="FFFFFF"/>
        <w:ind w:firstLine="1134"/>
        <w:jc w:val="both"/>
      </w:pPr>
      <w:r>
        <w:t>33. Autobusų stotyse paslaugų teikimo vežėjams tarifus nustato paslaugų teikėjai. Autobusų stotys visiems vežėjams, vežantiems keleivius tos pačios susisiekimo rūšies (v</w:t>
      </w:r>
      <w:r>
        <w:t xml:space="preserve">ietinio (priemiestinio), tolimojo arba tarptautinio susisiekimo) maršrutais, taiko vienodus paslaugų tarifus. </w:t>
      </w:r>
    </w:p>
    <w:p w14:paraId="298A708A" w14:textId="77777777" w:rsidR="00831C43" w:rsidRDefault="00FE67E7">
      <w:pPr>
        <w:widowControl w:val="0"/>
        <w:shd w:val="clear" w:color="auto" w:fill="FFFFFF"/>
        <w:ind w:firstLine="1134"/>
        <w:jc w:val="both"/>
      </w:pPr>
      <w:r>
        <w:t>34. Paslaugų keleiviams teikimo kainas nustato autobusų stočių savininkai (valdytojai).</w:t>
      </w:r>
    </w:p>
    <w:p w14:paraId="3F0C1CB3" w14:textId="77777777" w:rsidR="00831C43" w:rsidRDefault="00831C43">
      <w:pPr>
        <w:widowControl w:val="0"/>
        <w:shd w:val="clear" w:color="auto" w:fill="FFFFFF"/>
        <w:ind w:firstLine="709"/>
        <w:jc w:val="both"/>
      </w:pPr>
    </w:p>
    <w:p w14:paraId="4EB5CC34" w14:textId="77777777" w:rsidR="00831C43" w:rsidRDefault="00FE67E7">
      <w:pPr>
        <w:widowControl w:val="0"/>
        <w:shd w:val="clear" w:color="auto" w:fill="FFFFFF"/>
        <w:jc w:val="center"/>
        <w:rPr>
          <w:b/>
        </w:rPr>
      </w:pPr>
      <w:r>
        <w:rPr>
          <w:b/>
        </w:rPr>
        <w:t>VI SKYRIUS</w:t>
      </w:r>
    </w:p>
    <w:p w14:paraId="2F67C42D" w14:textId="77777777" w:rsidR="00831C43" w:rsidRDefault="00FE67E7">
      <w:pPr>
        <w:widowControl w:val="0"/>
        <w:shd w:val="clear" w:color="auto" w:fill="FFFFFF"/>
        <w:jc w:val="center"/>
      </w:pPr>
      <w:r>
        <w:rPr>
          <w:b/>
          <w:bCs/>
        </w:rPr>
        <w:t xml:space="preserve">AUTOBUSŲ STOČIŲ VEIKLOS PRIEŽIŪRA IR KONTROLĖ </w:t>
      </w:r>
    </w:p>
    <w:p w14:paraId="3ADDD1A8" w14:textId="77777777" w:rsidR="00831C43" w:rsidRDefault="00831C43">
      <w:pPr>
        <w:widowControl w:val="0"/>
        <w:shd w:val="clear" w:color="auto" w:fill="FFFFFF"/>
        <w:jc w:val="both"/>
      </w:pPr>
    </w:p>
    <w:p w14:paraId="6AC0F5AB" w14:textId="77777777" w:rsidR="00831C43" w:rsidRDefault="00FE67E7">
      <w:pPr>
        <w:widowControl w:val="0"/>
        <w:shd w:val="clear" w:color="auto" w:fill="FFFFFF"/>
        <w:ind w:firstLine="1134"/>
        <w:jc w:val="both"/>
      </w:pPr>
      <w:r>
        <w:t>35. Autobusų stoties veiklą kontroliuoja stoties steigėjas (valdytojas) ir kiti priežiūros ir kontrolės teisę turintys pareigūnai.</w:t>
      </w:r>
    </w:p>
    <w:p w14:paraId="079D8095" w14:textId="77777777" w:rsidR="00831C43" w:rsidRDefault="00FE67E7">
      <w:pPr>
        <w:widowControl w:val="0"/>
        <w:shd w:val="clear" w:color="auto" w:fill="FFFFFF"/>
        <w:ind w:firstLine="1134"/>
        <w:jc w:val="both"/>
      </w:pPr>
      <w:r>
        <w:t>36. Kontrolės teisę turintys pareigūnai autobusų stotyje kontroliuoja išvykst</w:t>
      </w:r>
      <w:r>
        <w:t>ančių į maršrutus ir grįžtančių iš maršrutų autobusų eismo tvarkaraščių laikymąsi, jų apipavidalinimą, sanitarinę būklę, ekipažų kelionės dokumentus, keleivių bilietus.</w:t>
      </w:r>
    </w:p>
    <w:p w14:paraId="405A9757" w14:textId="77777777" w:rsidR="00831C43" w:rsidRDefault="00831C43">
      <w:pPr>
        <w:widowControl w:val="0"/>
        <w:shd w:val="clear" w:color="auto" w:fill="FFFFFF"/>
        <w:ind w:firstLine="709"/>
        <w:jc w:val="both"/>
      </w:pPr>
    </w:p>
    <w:p w14:paraId="6E6CBBD2" w14:textId="77777777" w:rsidR="00831C43" w:rsidRDefault="00FE67E7">
      <w:pPr>
        <w:widowControl w:val="0"/>
        <w:shd w:val="clear" w:color="auto" w:fill="FFFFFF"/>
        <w:jc w:val="center"/>
        <w:rPr>
          <w:b/>
          <w:bCs/>
        </w:rPr>
      </w:pPr>
      <w:r>
        <w:rPr>
          <w:b/>
          <w:bCs/>
        </w:rPr>
        <w:t>VII SKYRIUS</w:t>
      </w:r>
    </w:p>
    <w:p w14:paraId="5C6E519C" w14:textId="77777777" w:rsidR="00831C43" w:rsidRDefault="00FE67E7">
      <w:pPr>
        <w:widowControl w:val="0"/>
        <w:shd w:val="clear" w:color="auto" w:fill="FFFFFF"/>
        <w:jc w:val="center"/>
        <w:rPr>
          <w:lang w:val="en-US"/>
        </w:rPr>
      </w:pPr>
      <w:r>
        <w:rPr>
          <w:b/>
          <w:bCs/>
        </w:rPr>
        <w:t>ATSAKOMYBĖ</w:t>
      </w:r>
    </w:p>
    <w:p w14:paraId="0F3DC449" w14:textId="77777777" w:rsidR="00831C43" w:rsidRDefault="00831C43">
      <w:pPr>
        <w:widowControl w:val="0"/>
        <w:shd w:val="clear" w:color="auto" w:fill="FFFFFF"/>
        <w:ind w:firstLine="709"/>
        <w:jc w:val="both"/>
        <w:rPr>
          <w:lang w:val="en-US"/>
        </w:rPr>
      </w:pPr>
    </w:p>
    <w:p w14:paraId="4F9FEC9A" w14:textId="77777777" w:rsidR="00831C43" w:rsidRDefault="00FE67E7">
      <w:pPr>
        <w:widowControl w:val="0"/>
        <w:shd w:val="clear" w:color="auto" w:fill="FFFFFF"/>
        <w:ind w:firstLine="1134"/>
        <w:jc w:val="both"/>
        <w:rPr>
          <w:lang w:val="en-US"/>
        </w:rPr>
      </w:pPr>
      <w:r>
        <w:rPr>
          <w:lang w:val="en-US"/>
        </w:rPr>
        <w:t xml:space="preserve">37. </w:t>
      </w:r>
      <w:r>
        <w:rPr>
          <w:color w:val="000000"/>
        </w:rPr>
        <w:t xml:space="preserve">Už autobusų stočių ir stotelių eksploatavimą </w:t>
      </w:r>
      <w:r>
        <w:rPr>
          <w:color w:val="000000"/>
        </w:rPr>
        <w:t>pažeidžiant šiuos nuostatus, taip pat tvarkaraščių, informacinių skelbimų, neatitinkančių nustatytų funkcinių ir techninių reikalavimų, naudojimą stočių savininkai (valdytojai) atsako įstatymų nustatyta tvarka.</w:t>
      </w:r>
    </w:p>
    <w:p w14:paraId="45449FBE" w14:textId="77777777" w:rsidR="00831C43" w:rsidRDefault="00831C43">
      <w:pPr>
        <w:widowControl w:val="0"/>
        <w:shd w:val="clear" w:color="auto" w:fill="FFFFFF"/>
        <w:jc w:val="both"/>
        <w:rPr>
          <w:highlight w:val="yellow"/>
        </w:rPr>
      </w:pPr>
    </w:p>
    <w:p w14:paraId="74B12705" w14:textId="77777777" w:rsidR="00831C43" w:rsidRDefault="00FE67E7">
      <w:pPr>
        <w:jc w:val="center"/>
      </w:pPr>
      <w:r>
        <w:t>_____________</w:t>
      </w:r>
    </w:p>
    <w:p w14:paraId="4B32D357" w14:textId="77777777" w:rsidR="00831C43" w:rsidRDefault="00831C43">
      <w:pPr>
        <w:jc w:val="center"/>
      </w:pPr>
    </w:p>
    <w:p w14:paraId="77E2996D" w14:textId="77777777" w:rsidR="00831C43" w:rsidRDefault="00831C43">
      <w:pPr>
        <w:jc w:val="center"/>
        <w:sectPr w:rsidR="00831C43"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26"/>
        </w:sectPr>
      </w:pPr>
    </w:p>
    <w:p w14:paraId="4B24EF38" w14:textId="77777777" w:rsidR="00831C43" w:rsidRDefault="00831C43">
      <w:pPr>
        <w:tabs>
          <w:tab w:val="center" w:pos="4680"/>
          <w:tab w:val="right" w:pos="9360"/>
        </w:tabs>
        <w:rPr>
          <w:sz w:val="22"/>
          <w:szCs w:val="22"/>
          <w:lang w:val="en-US"/>
        </w:rPr>
      </w:pPr>
    </w:p>
    <w:p w14:paraId="62FA24AA" w14:textId="77777777" w:rsidR="00831C43" w:rsidRDefault="00FE67E7">
      <w:pPr>
        <w:ind w:left="6379"/>
      </w:pPr>
      <w:r>
        <w:t xml:space="preserve">Autobusų stočių veiklos nuostatų </w:t>
      </w:r>
    </w:p>
    <w:p w14:paraId="315D681F" w14:textId="77777777" w:rsidR="00831C43" w:rsidRDefault="00FE67E7">
      <w:pPr>
        <w:ind w:left="6379"/>
      </w:pPr>
      <w:r>
        <w:t>1 priedas</w:t>
      </w:r>
    </w:p>
    <w:p w14:paraId="67704959" w14:textId="77777777" w:rsidR="00831C43" w:rsidRDefault="00831C43">
      <w:pPr>
        <w:jc w:val="center"/>
      </w:pPr>
    </w:p>
    <w:p w14:paraId="59BABE3C" w14:textId="77777777" w:rsidR="00831C43" w:rsidRDefault="00FE67E7">
      <w:pPr>
        <w:jc w:val="center"/>
        <w:rPr>
          <w:b/>
        </w:rPr>
      </w:pPr>
      <w:r>
        <w:rPr>
          <w:b/>
        </w:rPr>
        <w:t>Savivaldybės, kurių teritorijose autobusų stotys prižiūri autobusų eismo tvarkaraščių būklę reguliariojo susisiekimo autobusų maršrutų (išskyrus miesto) stotelėse</w:t>
      </w:r>
    </w:p>
    <w:p w14:paraId="6C20FB01" w14:textId="77777777" w:rsidR="00831C43" w:rsidRDefault="00831C43">
      <w:pPr>
        <w:jc w:val="center"/>
        <w:rPr>
          <w:b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1720"/>
        <w:gridCol w:w="3447"/>
        <w:gridCol w:w="4014"/>
      </w:tblGrid>
      <w:tr w:rsidR="00831C43" w14:paraId="0585ECB7" w14:textId="77777777">
        <w:tc>
          <w:tcPr>
            <w:tcW w:w="2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84A5531" w14:textId="77777777" w:rsidR="00831C43" w:rsidRDefault="00FE67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882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6B30E24" w14:textId="77777777" w:rsidR="00831C43" w:rsidRDefault="00FE67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Auto</w:t>
            </w:r>
            <w:r>
              <w:rPr>
                <w:b/>
                <w:szCs w:val="24"/>
              </w:rPr>
              <w:t>busų stotis</w:t>
            </w:r>
          </w:p>
        </w:tc>
        <w:tc>
          <w:tcPr>
            <w:tcW w:w="176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E327702" w14:textId="77777777" w:rsidR="00831C43" w:rsidRDefault="00FE67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Adresas</w:t>
            </w:r>
          </w:p>
        </w:tc>
        <w:tc>
          <w:tcPr>
            <w:tcW w:w="205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10C7232" w14:textId="77777777" w:rsidR="00831C43" w:rsidRDefault="00FE67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Savivaldybės</w:t>
            </w:r>
          </w:p>
        </w:tc>
      </w:tr>
    </w:tbl>
    <w:p w14:paraId="7DD6E864" w14:textId="77777777" w:rsidR="00831C43" w:rsidRDefault="00831C43">
      <w:pPr>
        <w:rPr>
          <w:sz w:val="2"/>
          <w:szCs w:val="2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701"/>
        <w:gridCol w:w="3402"/>
        <w:gridCol w:w="3966"/>
      </w:tblGrid>
      <w:tr w:rsidR="00831C43" w14:paraId="4EA2E54A" w14:textId="77777777">
        <w:trPr>
          <w:tblHeader/>
        </w:trPr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389E4235" w14:textId="77777777" w:rsidR="00831C43" w:rsidRDefault="00FE67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701" w:type="dxa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2A5ECB17" w14:textId="77777777" w:rsidR="00831C43" w:rsidRDefault="00FE67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3402" w:type="dxa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11A1F10C" w14:textId="77777777" w:rsidR="00831C43" w:rsidRDefault="00FE67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3966" w:type="dxa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0CA91BF9" w14:textId="77777777" w:rsidR="00831C43" w:rsidRDefault="00FE67E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</w:tr>
      <w:tr w:rsidR="00831C43" w14:paraId="1450C859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5A432CCF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5E1AF4BD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Alytaus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4B2BD3F2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Alytus, Naujoji g. 17L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6B6ECA38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Alytaus m., Alytaus r.</w:t>
            </w:r>
          </w:p>
        </w:tc>
      </w:tr>
      <w:tr w:rsidR="00831C43" w14:paraId="29DE8585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7A22B780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20E69A0B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Anykščių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49B06B3E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Anykščiai, A. Vienuolio g. 1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100EFBCC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Anykščių r.</w:t>
            </w:r>
          </w:p>
        </w:tc>
      </w:tr>
      <w:tr w:rsidR="00831C43" w14:paraId="3C271CCE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58B512EF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35A44FF0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Biržų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7B9B805A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Biržai, J. Basanavičiaus g. 1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1797F88E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Biržų r.</w:t>
            </w:r>
          </w:p>
        </w:tc>
      </w:tr>
      <w:tr w:rsidR="00831C43" w14:paraId="085C1466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4388CDAC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4.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72471A38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Druskininkų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2CC5D546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Druskininkai, Gardino g. 1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3C93ACE1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Druskininkų</w:t>
            </w:r>
          </w:p>
        </w:tc>
      </w:tr>
      <w:tr w:rsidR="00831C43" w14:paraId="3F7EFF82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4F874CAB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5.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14951E21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Eišiškių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37B1A1F1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Šalčininkų r. sav., Eišiškės, Vilniaus g. 47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349E7F1B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Šalčininkų r., pagal susitarimą kartu su Šalčininkų AS</w:t>
            </w:r>
          </w:p>
        </w:tc>
      </w:tr>
      <w:tr w:rsidR="00831C43" w14:paraId="7668FC18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061CE9C2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6.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1E406E8D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Gargždų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28DDDE1B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Gargždai, Klaipėdos g. 35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629E8534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Tik Gargždų miesto teritorijoje</w:t>
            </w:r>
          </w:p>
        </w:tc>
      </w:tr>
      <w:tr w:rsidR="00831C43" w14:paraId="1E574E61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349C2D9D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668EB47A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Ignalinos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0BAEA15D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Ignalina, Geležinkelio g. 8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4571159F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Ignalinos r.</w:t>
            </w:r>
          </w:p>
        </w:tc>
      </w:tr>
      <w:tr w:rsidR="00831C43" w14:paraId="3F64E8BA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16669C02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8.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797BB81D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Jonavos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1A532401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Jonava, Turgaus g. 1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0298EA65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Jonavos r.</w:t>
            </w:r>
          </w:p>
        </w:tc>
      </w:tr>
      <w:tr w:rsidR="00831C43" w14:paraId="697D9962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1D40FEB7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9.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61788679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Joniškio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67CBC18C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Joniškis, Vilniaus g. 54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0ECCFFCA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Joniškio r.</w:t>
            </w:r>
          </w:p>
        </w:tc>
      </w:tr>
      <w:tr w:rsidR="00831C43" w14:paraId="3B742FC4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12723CDD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10.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4395B237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Jurbarko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60E2D034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Jurbarkas, Vydūno g. 7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785A4E21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Jurbarko r.</w:t>
            </w:r>
          </w:p>
        </w:tc>
      </w:tr>
      <w:tr w:rsidR="00831C43" w14:paraId="23BC6A3D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73593BB4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11.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41546FDC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Kaišiadorių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5F543458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Kaišiadorys, J. Misiūno a. 1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3C69039D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Kaišiadorių r., Elektrėnų</w:t>
            </w:r>
          </w:p>
        </w:tc>
      </w:tr>
      <w:tr w:rsidR="00831C43" w14:paraId="3C719E26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0E447596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12.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735FC3A5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Kauno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3BE18E12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Kaunas, Vytauto pr. 24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57142F90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Kauno m., Kauno r.</w:t>
            </w:r>
          </w:p>
        </w:tc>
      </w:tr>
      <w:tr w:rsidR="00831C43" w14:paraId="4F652ED9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6DCCF4CA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13.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6AD7D32E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Kėdainių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74CD77D4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Kėdainiai, J. Basanavičiaus g. 93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097B046B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Kėdainių r.</w:t>
            </w:r>
          </w:p>
        </w:tc>
      </w:tr>
      <w:tr w:rsidR="00831C43" w14:paraId="69524329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77C31A96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14.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12DFF1F1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Kelmės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3451715C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Kelmė, V. Putvinskio g. 3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3376A2DA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Kelmės r.</w:t>
            </w:r>
          </w:p>
        </w:tc>
      </w:tr>
      <w:tr w:rsidR="00831C43" w14:paraId="08ED5325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13E75E0E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15.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2E0FF09D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Klaipėdos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348E9359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Klaipėda, Butkų Juzės g. 9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5CB78EC7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Klaipėdos m., Klaipėdos r.</w:t>
            </w:r>
          </w:p>
        </w:tc>
      </w:tr>
      <w:tr w:rsidR="00831C43" w14:paraId="255C7A3F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139B66AB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16.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4BBE78C0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Kretingos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652B344A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Kretinga, </w:t>
            </w:r>
            <w:r>
              <w:rPr>
                <w:szCs w:val="24"/>
              </w:rPr>
              <w:t>Stoties g. 2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4581F338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Kretingos r.</w:t>
            </w:r>
          </w:p>
        </w:tc>
      </w:tr>
      <w:tr w:rsidR="00831C43" w14:paraId="10719D41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67CA80A0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17.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5EB56DBD" w14:textId="77777777" w:rsidR="00831C43" w:rsidRDefault="00FE67E7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Kryžkalnio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713FCFE9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Raseinių r. sav., Nemakščių sen., </w:t>
            </w:r>
            <w:proofErr w:type="spellStart"/>
            <w:r>
              <w:rPr>
                <w:szCs w:val="24"/>
              </w:rPr>
              <w:t>Kryžkalnio</w:t>
            </w:r>
            <w:proofErr w:type="spellEnd"/>
            <w:r>
              <w:rPr>
                <w:szCs w:val="24"/>
              </w:rPr>
              <w:t xml:space="preserve"> k.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38181F32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Tik </w:t>
            </w:r>
            <w:proofErr w:type="spellStart"/>
            <w:r>
              <w:rPr>
                <w:szCs w:val="24"/>
              </w:rPr>
              <w:t>Kryžkalnio</w:t>
            </w:r>
            <w:proofErr w:type="spellEnd"/>
            <w:r>
              <w:rPr>
                <w:szCs w:val="24"/>
              </w:rPr>
              <w:t xml:space="preserve"> AS teritorijoje</w:t>
            </w:r>
          </w:p>
        </w:tc>
      </w:tr>
      <w:tr w:rsidR="00831C43" w14:paraId="0A4D7205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71AA8327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18.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35766661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Kupiškio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1A4270C8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Kupiškis, Gedimino g. 96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01ED5E75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Kupiškio r.</w:t>
            </w:r>
          </w:p>
        </w:tc>
      </w:tr>
      <w:tr w:rsidR="00831C43" w14:paraId="0ECA28DF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581BD02E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19.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3E0E658B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Kuršėnų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495A652E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Šiaulių r. sav., Kuršėnai, Vilniaus g. 45A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2BE86DD4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Šiaulių r., pagal </w:t>
            </w:r>
            <w:r>
              <w:rPr>
                <w:szCs w:val="24"/>
              </w:rPr>
              <w:t>susitarimą kartu su Šiaulių AS</w:t>
            </w:r>
          </w:p>
        </w:tc>
      </w:tr>
      <w:tr w:rsidR="00831C43" w14:paraId="7FD2A35A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7C8EB818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20.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0A395CB2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Lazdijų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55A5C266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Lazdijai, Vilniaus g. 48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531FA390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Lazdijų r.</w:t>
            </w:r>
          </w:p>
        </w:tc>
      </w:tr>
      <w:tr w:rsidR="00831C43" w14:paraId="492BD8C3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4ED19DF1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21.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5AA51644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Marijampolės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0A54283E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Marijampolė, Stoties g. 2B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59987776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Marijampolės, Kalvarijos, Kazlų Rūdos</w:t>
            </w:r>
          </w:p>
        </w:tc>
      </w:tr>
      <w:tr w:rsidR="00831C43" w14:paraId="30DE8048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32278416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22.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31031244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Mažeikių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5DE07F1C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Mažeikiai, Respublikos g. 17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08794F29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Mažeikių r.</w:t>
            </w:r>
          </w:p>
        </w:tc>
      </w:tr>
      <w:tr w:rsidR="00831C43" w14:paraId="083011CE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62EC2052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23.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17A0E5A6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Molėtų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1296CE73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Molėtai, </w:t>
            </w:r>
            <w:r>
              <w:rPr>
                <w:szCs w:val="24"/>
              </w:rPr>
              <w:t>Vilniaus g. 2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3E7ACDA5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Molėtų r.</w:t>
            </w:r>
          </w:p>
        </w:tc>
      </w:tr>
      <w:tr w:rsidR="00831C43" w14:paraId="25EE2CE5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3727BDAA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24.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0AA3F495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Naujosios Akmenės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4EEAB917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Naujoji Akmenė, V. Kudirkos g. 21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1DCB93B4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Akmenės r.</w:t>
            </w:r>
          </w:p>
        </w:tc>
      </w:tr>
      <w:tr w:rsidR="00831C43" w14:paraId="25B06C06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3D3D1220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25.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6AED33A8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Nidos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28E3B2A9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Nida, Naglių g. 18E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4249D656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Neringos</w:t>
            </w:r>
          </w:p>
        </w:tc>
      </w:tr>
      <w:tr w:rsidR="00831C43" w14:paraId="011CCB41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7C2CE04B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26.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60A58D56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Pakruojo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4A2C1241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Pakruojis, Vilniaus g. 22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17C524AD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Pakruojo r.</w:t>
            </w:r>
          </w:p>
        </w:tc>
      </w:tr>
      <w:tr w:rsidR="00831C43" w14:paraId="0F171C7D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48AE3E40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27.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5F96FB96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Palangos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3E3E82BB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Palanga, Klaipėdos pl. 42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7F2A2695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Palangos m.</w:t>
            </w:r>
          </w:p>
        </w:tc>
      </w:tr>
      <w:tr w:rsidR="00831C43" w14:paraId="353E7E3C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04ACB2B8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28.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7050DF02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Panevėžio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69884955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Panevėžys, Savanorių a. 5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2C723A97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Panevėžio m., Panevėžio r.</w:t>
            </w:r>
          </w:p>
        </w:tc>
      </w:tr>
      <w:tr w:rsidR="00831C43" w14:paraId="557A7CDA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397D934C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29.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218899BC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Pasvalio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107E93F2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Pasvalys, Vilniaus g. 39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62FE6BCD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Pasvalio r.</w:t>
            </w:r>
          </w:p>
        </w:tc>
      </w:tr>
      <w:tr w:rsidR="00831C43" w14:paraId="4CD1DBA9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571487D1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30.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49AB47D9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Plungės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4AF03163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Plungė, Stoties g. 35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7BA38FD5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Plungės r., Rietavo</w:t>
            </w:r>
          </w:p>
        </w:tc>
      </w:tr>
      <w:tr w:rsidR="00831C43" w14:paraId="31CE3F99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29E4B0D9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31.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45612F20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Prienų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3C59C49A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Prienai, Vytauto g. 11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5AD829F3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Prienų r., Birštono</w:t>
            </w:r>
          </w:p>
        </w:tc>
      </w:tr>
      <w:tr w:rsidR="00831C43" w14:paraId="47A475B6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506A8EC6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32.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22F412A1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Radviliškio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087B7605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Radviliškis, Gedimino g. 31A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036B54E5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Radviliškio r.</w:t>
            </w:r>
          </w:p>
        </w:tc>
      </w:tr>
      <w:tr w:rsidR="00831C43" w14:paraId="4735EFFC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0B449A84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33.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61E873CC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Raseinių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2DAF3BA4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Raseiniai, Vilniaus g. 87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368FD6F3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Raseinių r.</w:t>
            </w:r>
          </w:p>
        </w:tc>
      </w:tr>
      <w:tr w:rsidR="00831C43" w14:paraId="7FE91D75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7B4469DD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34.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0A9E42E4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Rokiškio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7478E530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Rokiškis, Panevėžio g. 1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5CFD63C3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Rokiškio r.</w:t>
            </w:r>
          </w:p>
        </w:tc>
      </w:tr>
      <w:tr w:rsidR="00831C43" w14:paraId="5D8752DF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2D1C07BE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35.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2761CFC7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Skuodo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6E6CD145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Skuodas, Vilniaus g. 34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5FA524F2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Skuodo r.</w:t>
            </w:r>
          </w:p>
        </w:tc>
      </w:tr>
      <w:tr w:rsidR="00831C43" w14:paraId="0ECC4555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2B8311A0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36.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5E47EE15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Šakių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088575FF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Šakiai, Aušros g. 3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030C6D5D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Šakių r.</w:t>
            </w:r>
          </w:p>
        </w:tc>
      </w:tr>
      <w:tr w:rsidR="00831C43" w14:paraId="3214C0F6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4D8C785D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37.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20F27841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Šalčininkų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10FC21BE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Šalčininkai, Vilniaus g. 56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33A73E7B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Šalčininkų r., pagal susitarimą su Eišiškių AS</w:t>
            </w:r>
          </w:p>
        </w:tc>
      </w:tr>
      <w:tr w:rsidR="00831C43" w14:paraId="371040FF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613B73C2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38.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40D4C3E0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Šiaulių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3D6B3F84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Šiauliai, Tilžės g. 109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56708E4F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Šiaulių m., Šiaulių r., pagal susitarimą kartu su Kuršėnų AS</w:t>
            </w:r>
          </w:p>
        </w:tc>
      </w:tr>
      <w:tr w:rsidR="00831C43" w14:paraId="597743AF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059A3761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39.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084B3552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Šilalės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48493D4A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Šilalė, Tauragės g. 1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3CC12A0F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Šilalės r.</w:t>
            </w:r>
          </w:p>
        </w:tc>
      </w:tr>
      <w:tr w:rsidR="00831C43" w14:paraId="185D7CFD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4F6C804B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40.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1082906B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Šilutės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7BEB242C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Šilutė, Geležinkelio g. 1A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06D79AE2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Šilutės r., Pagėgių</w:t>
            </w:r>
          </w:p>
        </w:tc>
      </w:tr>
      <w:tr w:rsidR="00831C43" w14:paraId="38007541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5590A1D1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41.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289CB9B3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Širvintų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1F8CDBA6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Širvintos, Plento g. 27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79D33E0D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Širvintų r.</w:t>
            </w:r>
          </w:p>
        </w:tc>
      </w:tr>
      <w:tr w:rsidR="00831C43" w14:paraId="1E5ED4BD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049F1443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42.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65D8F30D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Švenčionių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4EF13A13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Švenčionys, Stoties g. 11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174DCA83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Švenčionių r.</w:t>
            </w:r>
          </w:p>
        </w:tc>
      </w:tr>
      <w:tr w:rsidR="00831C43" w14:paraId="46396AB2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371425A3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43.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1AF4A2ED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Tauragės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361B273B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Tauragė, Dariaus ir Girėno g. 38A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4ABCC0B3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Tauragės r.</w:t>
            </w:r>
          </w:p>
        </w:tc>
      </w:tr>
      <w:tr w:rsidR="00831C43" w14:paraId="35CA121D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23BEF613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44.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6FF2EE59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Telšių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55AEB60E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Telšiai, Gedimino g. 3A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2A8B1C51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Telšių r.</w:t>
            </w:r>
          </w:p>
        </w:tc>
      </w:tr>
      <w:tr w:rsidR="00831C43" w14:paraId="0C9B56DF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2425AF57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45.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54C4570C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Trakų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0B4C5B47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Trakai, Vytauto g. 90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0B566633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Trakų r.</w:t>
            </w:r>
          </w:p>
        </w:tc>
      </w:tr>
      <w:tr w:rsidR="00831C43" w14:paraId="1D1F54D5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3E606029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46.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1255D2C0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Ukmergės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0182B8AA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Ukmergė, Vytauto g. 111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0EF30BFB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Ukmergės r.</w:t>
            </w:r>
          </w:p>
        </w:tc>
      </w:tr>
      <w:tr w:rsidR="00831C43" w14:paraId="2594C747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56063AA5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47.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4804A42B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Utenos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751AEE11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Utena, A. Baranausko g. 7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252C0A53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Utenos r.</w:t>
            </w:r>
          </w:p>
        </w:tc>
      </w:tr>
      <w:tr w:rsidR="00831C43" w14:paraId="5670E6FF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57ADC050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48.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3FB7AEE1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Varėnos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04BCC436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Varėna, Savanorių g. 5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58BFF042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Varėnos r.</w:t>
            </w:r>
          </w:p>
        </w:tc>
      </w:tr>
      <w:tr w:rsidR="00831C43" w14:paraId="4B41D302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445AA85E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49.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64F9EEEB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Vilkaviškio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634FA63B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Vilkaviškis, Vytauto g. 103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01A8FEC1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Vilkaviškio r.</w:t>
            </w:r>
          </w:p>
        </w:tc>
      </w:tr>
      <w:tr w:rsidR="00831C43" w14:paraId="272863E5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3748C39A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50.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7D84C202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Vilniaus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6913C979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Vilnius, Sodų g. 22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372525D0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Vilniaus m., Vilniaus r.</w:t>
            </w:r>
          </w:p>
        </w:tc>
      </w:tr>
      <w:tr w:rsidR="00831C43" w14:paraId="1B1CA879" w14:textId="77777777">
        <w:tc>
          <w:tcPr>
            <w:tcW w:w="564" w:type="dxa"/>
            <w:tcMar>
              <w:top w:w="34" w:type="dxa"/>
              <w:left w:w="57" w:type="dxa"/>
              <w:bottom w:w="34" w:type="dxa"/>
              <w:right w:w="57" w:type="dxa"/>
            </w:tcMar>
          </w:tcPr>
          <w:p w14:paraId="538D1F08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 xml:space="preserve">51. </w:t>
            </w:r>
          </w:p>
        </w:tc>
        <w:tc>
          <w:tcPr>
            <w:tcW w:w="1701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67EC63C0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Zarasų</w:t>
            </w:r>
          </w:p>
        </w:tc>
        <w:tc>
          <w:tcPr>
            <w:tcW w:w="3402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72BBA187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Zarasai, Savanorių g. 7</w:t>
            </w:r>
          </w:p>
        </w:tc>
        <w:tc>
          <w:tcPr>
            <w:tcW w:w="3966" w:type="dxa"/>
            <w:shd w:val="clear" w:color="auto" w:fill="auto"/>
            <w:tcMar>
              <w:top w:w="34" w:type="dxa"/>
              <w:left w:w="57" w:type="dxa"/>
              <w:bottom w:w="34" w:type="dxa"/>
              <w:right w:w="57" w:type="dxa"/>
            </w:tcMar>
            <w:vAlign w:val="center"/>
            <w:hideMark/>
          </w:tcPr>
          <w:p w14:paraId="23309DA6" w14:textId="77777777" w:rsidR="00831C43" w:rsidRDefault="00FE67E7">
            <w:pPr>
              <w:rPr>
                <w:szCs w:val="24"/>
              </w:rPr>
            </w:pPr>
            <w:r>
              <w:rPr>
                <w:szCs w:val="24"/>
              </w:rPr>
              <w:t>Zarasų r., Visagino m.</w:t>
            </w:r>
          </w:p>
        </w:tc>
      </w:tr>
    </w:tbl>
    <w:p w14:paraId="3577E227" w14:textId="77777777" w:rsidR="00831C43" w:rsidRDefault="00831C43"/>
    <w:p w14:paraId="532BD4D9" w14:textId="77777777" w:rsidR="00831C43" w:rsidRDefault="00831C43"/>
    <w:p w14:paraId="53916B23" w14:textId="77777777" w:rsidR="00831C43" w:rsidRDefault="00FE67E7">
      <w:pPr>
        <w:jc w:val="center"/>
      </w:pPr>
      <w:r>
        <w:t>_____________</w:t>
      </w:r>
    </w:p>
    <w:sectPr w:rsidR="00831C43"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6E125" w14:textId="77777777" w:rsidR="00FE67E7" w:rsidRDefault="00FE67E7">
      <w:r>
        <w:separator/>
      </w:r>
    </w:p>
  </w:endnote>
  <w:endnote w:type="continuationSeparator" w:id="0">
    <w:p w14:paraId="1E4A4D2B" w14:textId="77777777" w:rsidR="00FE67E7" w:rsidRDefault="00FE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90BF2" w14:textId="77777777" w:rsidR="00831C43" w:rsidRDefault="00831C43">
    <w:pP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9FC69" w14:textId="77777777" w:rsidR="00831C43" w:rsidRDefault="00831C43">
    <w:pPr>
      <w:tabs>
        <w:tab w:val="center" w:pos="4819"/>
        <w:tab w:val="right" w:pos="963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8AD3B" w14:textId="77777777" w:rsidR="00831C43" w:rsidRDefault="00831C43">
    <w:pP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8B0AA" w14:textId="77777777" w:rsidR="00FE67E7" w:rsidRDefault="00FE67E7">
      <w:r>
        <w:separator/>
      </w:r>
    </w:p>
  </w:footnote>
  <w:footnote w:type="continuationSeparator" w:id="0">
    <w:p w14:paraId="7F0E505C" w14:textId="77777777" w:rsidR="00FE67E7" w:rsidRDefault="00FE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2749" w14:textId="77777777" w:rsidR="00831C43" w:rsidRDefault="00FE67E7">
    <w:pPr>
      <w:framePr w:wrap="auto" w:vAnchor="text" w:hAnchor="margin" w:xAlign="center" w:y="1"/>
      <w:tabs>
        <w:tab w:val="center" w:pos="4153"/>
        <w:tab w:val="right" w:pos="8306"/>
      </w:tabs>
      <w:rPr>
        <w:lang w:val="en-GB"/>
      </w:rPr>
    </w:pPr>
    <w:r>
      <w:rPr>
        <w:lang w:val="en-GB"/>
      </w:rPr>
      <w:fldChar w:fldCharType="begin"/>
    </w:r>
    <w:r>
      <w:rPr>
        <w:lang w:val="en-GB"/>
      </w:rPr>
      <w:instrText xml:space="preserve">PAGE  </w:instrText>
    </w:r>
    <w:r>
      <w:rPr>
        <w:lang w:val="en-GB"/>
      </w:rPr>
      <w:fldChar w:fldCharType="end"/>
    </w:r>
  </w:p>
  <w:p w14:paraId="76CD113B" w14:textId="77777777" w:rsidR="00831C43" w:rsidRDefault="00831C43">
    <w:pPr>
      <w:tabs>
        <w:tab w:val="center" w:pos="4153"/>
        <w:tab w:val="right" w:pos="8306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EDD62" w14:textId="77777777" w:rsidR="00831C43" w:rsidRDefault="00FE67E7">
    <w:pPr>
      <w:tabs>
        <w:tab w:val="center" w:pos="4680"/>
        <w:tab w:val="right" w:pos="9360"/>
      </w:tabs>
      <w:jc w:val="center"/>
      <w:rPr>
        <w:szCs w:val="24"/>
        <w:lang w:val="en-US"/>
      </w:rPr>
    </w:pPr>
    <w:r>
      <w:rPr>
        <w:szCs w:val="24"/>
        <w:lang w:val="en-US"/>
      </w:rPr>
      <w:fldChar w:fldCharType="begin"/>
    </w:r>
    <w:r>
      <w:rPr>
        <w:szCs w:val="24"/>
        <w:lang w:val="en-US"/>
      </w:rPr>
      <w:instrText xml:space="preserve"> PAGE   \* MERGEFORMAT </w:instrText>
    </w:r>
    <w:r>
      <w:rPr>
        <w:szCs w:val="24"/>
        <w:lang w:val="en-US"/>
      </w:rPr>
      <w:fldChar w:fldCharType="separate"/>
    </w:r>
    <w:r>
      <w:rPr>
        <w:szCs w:val="24"/>
        <w:lang w:val="en-US"/>
      </w:rPr>
      <w:t>2</w:t>
    </w:r>
    <w:r>
      <w:rPr>
        <w:szCs w:val="24"/>
        <w:lang w:val="en-US"/>
      </w:rPr>
      <w:fldChar w:fldCharType="end"/>
    </w:r>
  </w:p>
  <w:p w14:paraId="0BDFBB97" w14:textId="77777777" w:rsidR="00831C43" w:rsidRDefault="00831C43">
    <w:pPr>
      <w:tabs>
        <w:tab w:val="center" w:pos="4153"/>
        <w:tab w:val="right" w:pos="8306"/>
      </w:tabs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6762B" w14:textId="77777777" w:rsidR="00831C43" w:rsidRDefault="00831C43">
    <w:pPr>
      <w:tabs>
        <w:tab w:val="center" w:pos="4680"/>
        <w:tab w:val="right" w:pos="9360"/>
      </w:tabs>
      <w:rPr>
        <w:sz w:val="22"/>
        <w:szCs w:val="2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396"/>
  <w:doNotHyphenateCaps/>
  <w:drawingGridHorizontalSpacing w:val="187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227"/>
    <w:rsid w:val="002A0430"/>
    <w:rsid w:val="00831C43"/>
    <w:rsid w:val="00B51227"/>
    <w:rsid w:val="00F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tic.lt:LLAdmDocST"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C3C9D3"/>
  <w15:docId w15:val="{D52F4323-591F-47FD-A519-82952600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7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2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25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8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7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8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8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0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3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75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4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7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7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23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3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9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5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0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0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0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4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5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2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6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06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7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1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95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5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7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3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6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4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7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6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0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6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9891</Words>
  <Characters>5638</Characters>
  <Application>Microsoft Office Word</Application>
  <DocSecurity>0</DocSecurity>
  <Lines>46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SUSISIEKIMO MINISTRO</vt:lpstr>
      <vt:lpstr>LIETUVOS RESPUBLIKOS SUSISIEKIMO MINISTRO</vt:lpstr>
    </vt:vector>
  </TitlesOfParts>
  <Company>Teisines informacijos centras</Company>
  <LinksUpToDate>false</LinksUpToDate>
  <CharactersWithSpaces>15499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SUSISIEKIMO MINISTRO</dc:title>
  <dc:creator>Sandra</dc:creator>
  <cp:lastModifiedBy>Gintaras Nakutis</cp:lastModifiedBy>
  <cp:revision>2</cp:revision>
  <dcterms:created xsi:type="dcterms:W3CDTF">2020-01-20T12:24:00Z</dcterms:created>
  <dcterms:modified xsi:type="dcterms:W3CDTF">2020-01-20T12:24:00Z</dcterms:modified>
</cp:coreProperties>
</file>